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3A2" w:rsidRDefault="00CF2B04">
      <w:pPr>
        <w:pBdr>
          <w:top w:val="nil"/>
          <w:left w:val="nil"/>
          <w:bottom w:val="nil"/>
          <w:right w:val="nil"/>
          <w:between w:val="nil"/>
        </w:pBdr>
        <w:spacing w:before="240"/>
        <w:ind w:left="567" w:right="567" w:hanging="567"/>
        <w:contextualSpacing w:val="0"/>
        <w:rPr>
          <w:sz w:val="22"/>
          <w:szCs w:val="22"/>
        </w:rPr>
      </w:pPr>
      <w:r>
        <w:rPr>
          <w:b/>
          <w:sz w:val="22"/>
          <w:szCs w:val="22"/>
        </w:rPr>
        <w:t>Q1.</w:t>
      </w:r>
      <w:r>
        <w:rPr>
          <w:sz w:val="22"/>
          <w:szCs w:val="22"/>
        </w:rPr>
        <w:t xml:space="preserve">The nucleus of a radioactive isotope </w:t>
      </w:r>
      <w:r>
        <w:rPr>
          <w:rFonts w:ascii="Times New Roman" w:eastAsia="Times New Roman" w:hAnsi="Times New Roman" w:cs="Times New Roman"/>
          <w:sz w:val="30"/>
          <w:szCs w:val="30"/>
        </w:rPr>
        <w:t>X</w:t>
      </w:r>
      <w:r>
        <w:rPr>
          <w:sz w:val="22"/>
          <w:szCs w:val="22"/>
        </w:rPr>
        <w:t xml:space="preserve"> is at rest and decays by emitting an </w:t>
      </w:r>
      <w:r>
        <w:rPr>
          <w:rFonts w:ascii="Times New Roman" w:eastAsia="Times New Roman" w:hAnsi="Times New Roman" w:cs="Times New Roman"/>
          <w:sz w:val="30"/>
          <w:szCs w:val="30"/>
        </w:rPr>
        <w:t>α</w:t>
      </w:r>
      <w:r>
        <w:rPr>
          <w:sz w:val="22"/>
          <w:szCs w:val="22"/>
        </w:rPr>
        <w:t xml:space="preserve"> particle so that a new nuclide </w:t>
      </w:r>
      <w:r>
        <w:rPr>
          <w:rFonts w:ascii="Times New Roman" w:eastAsia="Times New Roman" w:hAnsi="Times New Roman" w:cs="Times New Roman"/>
          <w:sz w:val="30"/>
          <w:szCs w:val="30"/>
        </w:rPr>
        <w:t>Y</w:t>
      </w:r>
      <w:r>
        <w:rPr>
          <w:sz w:val="22"/>
          <w:szCs w:val="22"/>
        </w:rPr>
        <w:t xml:space="preserve"> is formed.</w:t>
      </w:r>
    </w:p>
    <w:p w:rsidR="00C053A2" w:rsidRDefault="00CF2B04">
      <w:pPr>
        <w:pBdr>
          <w:top w:val="nil"/>
          <w:left w:val="nil"/>
          <w:bottom w:val="nil"/>
          <w:right w:val="nil"/>
          <w:between w:val="nil"/>
        </w:pBdr>
        <w:ind w:left="567" w:right="567"/>
        <w:contextualSpacing w:val="0"/>
        <w:rPr>
          <w:sz w:val="22"/>
          <w:szCs w:val="22"/>
        </w:rPr>
      </w:pPr>
      <w:r>
        <w:rPr>
          <w:sz w:val="22"/>
          <w:szCs w:val="22"/>
        </w:rPr>
        <w:t>Which one of the following statements about the decay is correct?</w:t>
      </w:r>
    </w:p>
    <w:p w:rsidR="00C053A2" w:rsidRDefault="00CF2B04">
      <w:pPr>
        <w:pBdr>
          <w:top w:val="nil"/>
          <w:left w:val="nil"/>
          <w:bottom w:val="nil"/>
          <w:right w:val="nil"/>
          <w:between w:val="nil"/>
        </w:pBdr>
        <w:spacing w:before="240"/>
        <w:ind w:left="1134" w:right="567" w:hanging="567"/>
        <w:contextualSpacing w:val="0"/>
        <w:rPr>
          <w:sz w:val="22"/>
          <w:szCs w:val="22"/>
        </w:rPr>
      </w:pPr>
      <w:r>
        <w:rPr>
          <w:b/>
          <w:sz w:val="22"/>
          <w:szCs w:val="22"/>
        </w:rPr>
        <w:t>A</w:t>
      </w:r>
      <w:r>
        <w:rPr>
          <w:sz w:val="22"/>
          <w:szCs w:val="22"/>
        </w:rPr>
        <w:t xml:space="preserve">       The momentum of </w:t>
      </w:r>
      <w:r>
        <w:rPr>
          <w:rFonts w:ascii="Times New Roman" w:eastAsia="Times New Roman" w:hAnsi="Times New Roman" w:cs="Times New Roman"/>
          <w:sz w:val="30"/>
          <w:szCs w:val="30"/>
        </w:rPr>
        <w:t>Y</w:t>
      </w:r>
      <w:r>
        <w:rPr>
          <w:sz w:val="22"/>
          <w:szCs w:val="22"/>
        </w:rPr>
        <w:t xml:space="preserve"> is equal and opposite to the momentum of the </w:t>
      </w:r>
      <w:r>
        <w:rPr>
          <w:rFonts w:ascii="Times New Roman" w:eastAsia="Times New Roman" w:hAnsi="Times New Roman" w:cs="Times New Roman"/>
          <w:sz w:val="30"/>
          <w:szCs w:val="30"/>
        </w:rPr>
        <w:t>α</w:t>
      </w:r>
      <w:r>
        <w:rPr>
          <w:sz w:val="22"/>
          <w:szCs w:val="22"/>
        </w:rPr>
        <w:t xml:space="preserve"> particle.</w:t>
      </w:r>
    </w:p>
    <w:p w:rsidR="00C053A2" w:rsidRDefault="00CF2B04">
      <w:pPr>
        <w:pBdr>
          <w:top w:val="nil"/>
          <w:left w:val="nil"/>
          <w:bottom w:val="nil"/>
          <w:right w:val="nil"/>
          <w:between w:val="nil"/>
        </w:pBdr>
        <w:spacing w:before="240"/>
        <w:ind w:left="567" w:right="567"/>
        <w:contextualSpacing w:val="0"/>
        <w:rPr>
          <w:sz w:val="22"/>
          <w:szCs w:val="22"/>
        </w:rPr>
      </w:pPr>
      <w:r>
        <w:rPr>
          <w:b/>
          <w:sz w:val="22"/>
          <w:szCs w:val="22"/>
        </w:rPr>
        <w:t>B</w:t>
      </w:r>
      <w:r>
        <w:rPr>
          <w:sz w:val="22"/>
          <w:szCs w:val="22"/>
        </w:rPr>
        <w:t xml:space="preserve">       The momentum of </w:t>
      </w:r>
      <w:r>
        <w:rPr>
          <w:rFonts w:ascii="Times New Roman" w:eastAsia="Times New Roman" w:hAnsi="Times New Roman" w:cs="Times New Roman"/>
          <w:sz w:val="30"/>
          <w:szCs w:val="30"/>
        </w:rPr>
        <w:t>Y</w:t>
      </w:r>
      <w:r>
        <w:rPr>
          <w:sz w:val="22"/>
          <w:szCs w:val="22"/>
        </w:rPr>
        <w:t xml:space="preserve"> is equal to the momentum of </w:t>
      </w:r>
      <w:r>
        <w:rPr>
          <w:rFonts w:ascii="Times New Roman" w:eastAsia="Times New Roman" w:hAnsi="Times New Roman" w:cs="Times New Roman"/>
          <w:sz w:val="30"/>
          <w:szCs w:val="30"/>
        </w:rPr>
        <w:t>X</w:t>
      </w:r>
      <w:r>
        <w:rPr>
          <w:sz w:val="22"/>
          <w:szCs w:val="22"/>
        </w:rPr>
        <w:t>.</w:t>
      </w:r>
    </w:p>
    <w:p w:rsidR="00C053A2" w:rsidRDefault="00CF2B04">
      <w:pPr>
        <w:pBdr>
          <w:top w:val="nil"/>
          <w:left w:val="nil"/>
          <w:bottom w:val="nil"/>
          <w:right w:val="nil"/>
          <w:between w:val="nil"/>
        </w:pBdr>
        <w:spacing w:before="240"/>
        <w:ind w:left="567" w:right="567"/>
        <w:contextualSpacing w:val="0"/>
        <w:rPr>
          <w:sz w:val="22"/>
          <w:szCs w:val="22"/>
        </w:rPr>
      </w:pPr>
      <w:r>
        <w:rPr>
          <w:b/>
          <w:sz w:val="22"/>
          <w:szCs w:val="22"/>
        </w:rPr>
        <w:t>C</w:t>
      </w:r>
      <w:r>
        <w:rPr>
          <w:sz w:val="22"/>
          <w:szCs w:val="22"/>
        </w:rPr>
        <w:t xml:space="preserve">       The kinetic energy of </w:t>
      </w:r>
      <w:r>
        <w:rPr>
          <w:rFonts w:ascii="Times New Roman" w:eastAsia="Times New Roman" w:hAnsi="Times New Roman" w:cs="Times New Roman"/>
          <w:sz w:val="30"/>
          <w:szCs w:val="30"/>
        </w:rPr>
        <w:t>Y</w:t>
      </w:r>
      <w:r>
        <w:rPr>
          <w:sz w:val="22"/>
          <w:szCs w:val="22"/>
        </w:rPr>
        <w:t xml:space="preserve"> is equal to the kinetic energy of the </w:t>
      </w:r>
      <w:r>
        <w:rPr>
          <w:rFonts w:ascii="Times New Roman" w:eastAsia="Times New Roman" w:hAnsi="Times New Roman" w:cs="Times New Roman"/>
          <w:sz w:val="30"/>
          <w:szCs w:val="30"/>
        </w:rPr>
        <w:t>α</w:t>
      </w:r>
      <w:r>
        <w:rPr>
          <w:sz w:val="22"/>
          <w:szCs w:val="22"/>
        </w:rPr>
        <w:t xml:space="preserve"> particle.</w:t>
      </w:r>
    </w:p>
    <w:p w:rsidR="00C053A2" w:rsidRDefault="00CF2B04">
      <w:pPr>
        <w:pBdr>
          <w:top w:val="nil"/>
          <w:left w:val="nil"/>
          <w:bottom w:val="nil"/>
          <w:right w:val="nil"/>
          <w:between w:val="nil"/>
        </w:pBdr>
        <w:spacing w:before="240"/>
        <w:ind w:left="567" w:right="567"/>
        <w:contextualSpacing w:val="0"/>
        <w:rPr>
          <w:sz w:val="22"/>
          <w:szCs w:val="22"/>
        </w:rPr>
      </w:pPr>
      <w:r>
        <w:rPr>
          <w:b/>
          <w:sz w:val="22"/>
          <w:szCs w:val="22"/>
        </w:rPr>
        <w:t>D</w:t>
      </w:r>
      <w:r>
        <w:rPr>
          <w:sz w:val="22"/>
          <w:szCs w:val="22"/>
        </w:rPr>
        <w:t>       The total kinetic energy is the same before and after the decay.</w:t>
      </w:r>
    </w:p>
    <w:p w:rsidR="00C053A2" w:rsidRDefault="00CF2B04">
      <w:pPr>
        <w:pBdr>
          <w:top w:val="nil"/>
          <w:left w:val="nil"/>
          <w:bottom w:val="nil"/>
          <w:right w:val="nil"/>
          <w:between w:val="nil"/>
        </w:pBdr>
        <w:contextualSpacing w:val="0"/>
        <w:jc w:val="right"/>
        <w:rPr>
          <w:b/>
          <w:sz w:val="20"/>
          <w:szCs w:val="20"/>
        </w:rPr>
      </w:pPr>
      <w:r>
        <w:rPr>
          <w:b/>
          <w:sz w:val="20"/>
          <w:szCs w:val="20"/>
        </w:rPr>
        <w:t>(Total 1 mark)</w:t>
      </w:r>
    </w:p>
    <w:p w:rsidR="00C053A2" w:rsidRDefault="00CF2B04">
      <w:pPr>
        <w:pBdr>
          <w:top w:val="nil"/>
          <w:left w:val="nil"/>
          <w:bottom w:val="nil"/>
          <w:right w:val="nil"/>
          <w:between w:val="nil"/>
        </w:pBdr>
        <w:spacing w:before="240"/>
        <w:ind w:left="567" w:right="567" w:hanging="567"/>
        <w:contextualSpacing w:val="0"/>
        <w:rPr>
          <w:sz w:val="22"/>
          <w:szCs w:val="22"/>
        </w:rPr>
      </w:pPr>
      <w:r>
        <w:rPr>
          <w:b/>
          <w:sz w:val="22"/>
          <w:szCs w:val="22"/>
        </w:rPr>
        <w:t>Q2.</w:t>
      </w:r>
      <w:r>
        <w:rPr>
          <w:sz w:val="22"/>
          <w:szCs w:val="22"/>
        </w:rPr>
        <w:t xml:space="preserve">Trolley </w:t>
      </w:r>
      <w:r>
        <w:rPr>
          <w:rFonts w:ascii="Times New Roman" w:eastAsia="Times New Roman" w:hAnsi="Times New Roman" w:cs="Times New Roman"/>
          <w:sz w:val="30"/>
          <w:szCs w:val="30"/>
        </w:rPr>
        <w:t>T</w:t>
      </w:r>
      <w:r>
        <w:rPr>
          <w:sz w:val="20"/>
          <w:szCs w:val="20"/>
          <w:vertAlign w:val="subscript"/>
        </w:rPr>
        <w:t>1</w:t>
      </w:r>
      <w:r>
        <w:rPr>
          <w:sz w:val="22"/>
          <w:szCs w:val="22"/>
        </w:rPr>
        <w:t xml:space="preserve">, of mass 2.0 kg, collides on a horizontal surface with trolley </w:t>
      </w:r>
      <w:r>
        <w:rPr>
          <w:rFonts w:ascii="Times New Roman" w:eastAsia="Times New Roman" w:hAnsi="Times New Roman" w:cs="Times New Roman"/>
          <w:sz w:val="30"/>
          <w:szCs w:val="30"/>
        </w:rPr>
        <w:t>T</w:t>
      </w:r>
      <w:r>
        <w:rPr>
          <w:sz w:val="20"/>
          <w:szCs w:val="20"/>
          <w:vertAlign w:val="subscript"/>
        </w:rPr>
        <w:t>2</w:t>
      </w:r>
      <w:r>
        <w:rPr>
          <w:sz w:val="22"/>
          <w:szCs w:val="22"/>
        </w:rPr>
        <w:t xml:space="preserve">, which is also of mass 2.0 kg. The collision is elastic. Before the collision </w:t>
      </w:r>
      <w:r>
        <w:rPr>
          <w:rFonts w:ascii="Times New Roman" w:eastAsia="Times New Roman" w:hAnsi="Times New Roman" w:cs="Times New Roman"/>
          <w:sz w:val="30"/>
          <w:szCs w:val="30"/>
        </w:rPr>
        <w:t>T</w:t>
      </w:r>
      <w:r>
        <w:rPr>
          <w:sz w:val="20"/>
          <w:szCs w:val="20"/>
          <w:vertAlign w:val="subscript"/>
        </w:rPr>
        <w:t>1</w:t>
      </w:r>
      <w:r>
        <w:rPr>
          <w:sz w:val="22"/>
          <w:szCs w:val="22"/>
        </w:rPr>
        <w:t xml:space="preserve"> was movi</w:t>
      </w:r>
      <w:r>
        <w:rPr>
          <w:sz w:val="22"/>
          <w:szCs w:val="22"/>
        </w:rPr>
        <w:t>ng at 4.0 m s</w:t>
      </w:r>
      <w:r>
        <w:rPr>
          <w:sz w:val="20"/>
          <w:szCs w:val="20"/>
          <w:vertAlign w:val="superscript"/>
        </w:rPr>
        <w:t>–1</w:t>
      </w:r>
      <w:r>
        <w:rPr>
          <w:sz w:val="22"/>
          <w:szCs w:val="22"/>
        </w:rPr>
        <w:t xml:space="preserve"> and </w:t>
      </w:r>
      <w:r>
        <w:rPr>
          <w:rFonts w:ascii="Times New Roman" w:eastAsia="Times New Roman" w:hAnsi="Times New Roman" w:cs="Times New Roman"/>
          <w:sz w:val="30"/>
          <w:szCs w:val="30"/>
        </w:rPr>
        <w:t>T</w:t>
      </w:r>
      <w:r>
        <w:rPr>
          <w:sz w:val="20"/>
          <w:szCs w:val="20"/>
          <w:vertAlign w:val="subscript"/>
        </w:rPr>
        <w:t>2</w:t>
      </w:r>
      <w:r>
        <w:rPr>
          <w:sz w:val="22"/>
          <w:szCs w:val="22"/>
        </w:rPr>
        <w:t xml:space="preserve"> was at rest.</w:t>
      </w:r>
    </w:p>
    <w:p w:rsidR="00C053A2" w:rsidRDefault="00CF2B04">
      <w:pPr>
        <w:pBdr>
          <w:top w:val="nil"/>
          <w:left w:val="nil"/>
          <w:bottom w:val="nil"/>
          <w:right w:val="nil"/>
          <w:between w:val="nil"/>
        </w:pBdr>
        <w:spacing w:before="240"/>
        <w:ind w:left="567" w:right="567" w:hanging="567"/>
        <w:contextualSpacing w:val="0"/>
        <w:jc w:val="center"/>
        <w:rPr>
          <w:sz w:val="22"/>
          <w:szCs w:val="22"/>
        </w:rPr>
      </w:pPr>
      <w:r>
        <w:rPr>
          <w:noProof/>
          <w:sz w:val="22"/>
          <w:szCs w:val="22"/>
        </w:rPr>
        <w:drawing>
          <wp:inline distT="0" distB="0" distL="114300" distR="114300">
            <wp:extent cx="5038725" cy="962025"/>
            <wp:effectExtent l="0" t="0" r="0" b="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
                    <a:srcRect/>
                    <a:stretch>
                      <a:fillRect/>
                    </a:stretch>
                  </pic:blipFill>
                  <pic:spPr>
                    <a:xfrm>
                      <a:off x="0" y="0"/>
                      <a:ext cx="5038725" cy="962025"/>
                    </a:xfrm>
                    <a:prstGeom prst="rect">
                      <a:avLst/>
                    </a:prstGeom>
                    <a:ln/>
                  </pic:spPr>
                </pic:pic>
              </a:graphicData>
            </a:graphic>
          </wp:inline>
        </w:drawing>
      </w:r>
    </w:p>
    <w:p w:rsidR="00C053A2" w:rsidRDefault="00CF2B04">
      <w:pPr>
        <w:pBdr>
          <w:top w:val="nil"/>
          <w:left w:val="nil"/>
          <w:bottom w:val="nil"/>
          <w:right w:val="nil"/>
          <w:between w:val="nil"/>
        </w:pBdr>
        <w:spacing w:before="240"/>
        <w:ind w:left="567" w:right="567"/>
        <w:contextualSpacing w:val="0"/>
        <w:rPr>
          <w:sz w:val="22"/>
          <w:szCs w:val="22"/>
        </w:rPr>
      </w:pPr>
      <w:r>
        <w:rPr>
          <w:sz w:val="22"/>
          <w:szCs w:val="22"/>
        </w:rPr>
        <w:t>Which one of the following statements is correct?</w:t>
      </w:r>
    </w:p>
    <w:p w:rsidR="00C053A2" w:rsidRDefault="00CF2B04">
      <w:pPr>
        <w:pBdr>
          <w:top w:val="nil"/>
          <w:left w:val="nil"/>
          <w:bottom w:val="nil"/>
          <w:right w:val="nil"/>
          <w:between w:val="nil"/>
        </w:pBdr>
        <w:spacing w:before="240"/>
        <w:ind w:left="567" w:right="567"/>
        <w:contextualSpacing w:val="0"/>
        <w:rPr>
          <w:sz w:val="22"/>
          <w:szCs w:val="22"/>
        </w:rPr>
      </w:pPr>
      <w:r>
        <w:rPr>
          <w:sz w:val="22"/>
          <w:szCs w:val="22"/>
        </w:rPr>
        <w:t>Immediately after the collision</w:t>
      </w:r>
    </w:p>
    <w:p w:rsidR="00C053A2" w:rsidRDefault="00CF2B04">
      <w:pPr>
        <w:pBdr>
          <w:top w:val="nil"/>
          <w:left w:val="nil"/>
          <w:bottom w:val="nil"/>
          <w:right w:val="nil"/>
          <w:between w:val="nil"/>
        </w:pBdr>
        <w:spacing w:before="240"/>
        <w:ind w:left="567" w:right="567"/>
        <w:contextualSpacing w:val="0"/>
        <w:rPr>
          <w:sz w:val="22"/>
          <w:szCs w:val="22"/>
        </w:rPr>
      </w:pPr>
      <w:r>
        <w:rPr>
          <w:b/>
          <w:sz w:val="22"/>
          <w:szCs w:val="22"/>
        </w:rPr>
        <w:t>A</w:t>
      </w:r>
      <w:r>
        <w:rPr>
          <w:sz w:val="22"/>
          <w:szCs w:val="22"/>
        </w:rPr>
        <w:t>       </w:t>
      </w:r>
      <w:r>
        <w:rPr>
          <w:rFonts w:ascii="Times New Roman" w:eastAsia="Times New Roman" w:hAnsi="Times New Roman" w:cs="Times New Roman"/>
          <w:sz w:val="30"/>
          <w:szCs w:val="30"/>
        </w:rPr>
        <w:t>T</w:t>
      </w:r>
      <w:r>
        <w:rPr>
          <w:sz w:val="20"/>
          <w:szCs w:val="20"/>
          <w:vertAlign w:val="subscript"/>
        </w:rPr>
        <w:t>1</w:t>
      </w:r>
      <w:r>
        <w:rPr>
          <w:sz w:val="22"/>
          <w:szCs w:val="22"/>
        </w:rPr>
        <w:t xml:space="preserve"> is at rest and </w:t>
      </w:r>
      <w:r>
        <w:rPr>
          <w:rFonts w:ascii="Times New Roman" w:eastAsia="Times New Roman" w:hAnsi="Times New Roman" w:cs="Times New Roman"/>
          <w:sz w:val="30"/>
          <w:szCs w:val="30"/>
        </w:rPr>
        <w:t>T</w:t>
      </w:r>
      <w:r>
        <w:rPr>
          <w:sz w:val="20"/>
          <w:szCs w:val="20"/>
          <w:vertAlign w:val="subscript"/>
        </w:rPr>
        <w:t>2</w:t>
      </w:r>
      <w:r>
        <w:rPr>
          <w:sz w:val="22"/>
          <w:szCs w:val="22"/>
        </w:rPr>
        <w:t xml:space="preserve"> moves at 4.0 m s</w:t>
      </w:r>
      <w:r>
        <w:rPr>
          <w:sz w:val="20"/>
          <w:szCs w:val="20"/>
          <w:vertAlign w:val="superscript"/>
        </w:rPr>
        <w:t>–1</w:t>
      </w:r>
      <w:r>
        <w:rPr>
          <w:sz w:val="22"/>
          <w:szCs w:val="22"/>
        </w:rPr>
        <w:t>.</w:t>
      </w:r>
    </w:p>
    <w:p w:rsidR="00C053A2" w:rsidRDefault="00CF2B04">
      <w:pPr>
        <w:pBdr>
          <w:top w:val="nil"/>
          <w:left w:val="nil"/>
          <w:bottom w:val="nil"/>
          <w:right w:val="nil"/>
          <w:between w:val="nil"/>
        </w:pBdr>
        <w:spacing w:before="240"/>
        <w:ind w:left="567" w:right="567"/>
        <w:contextualSpacing w:val="0"/>
        <w:rPr>
          <w:sz w:val="22"/>
          <w:szCs w:val="22"/>
        </w:rPr>
      </w:pPr>
      <w:r>
        <w:rPr>
          <w:b/>
          <w:sz w:val="22"/>
          <w:szCs w:val="22"/>
        </w:rPr>
        <w:t>B</w:t>
      </w:r>
      <w:r>
        <w:rPr>
          <w:sz w:val="22"/>
          <w:szCs w:val="22"/>
        </w:rPr>
        <w:t>       </w:t>
      </w:r>
      <w:r>
        <w:rPr>
          <w:rFonts w:ascii="Times New Roman" w:eastAsia="Times New Roman" w:hAnsi="Times New Roman" w:cs="Times New Roman"/>
          <w:sz w:val="30"/>
          <w:szCs w:val="30"/>
        </w:rPr>
        <w:t>T</w:t>
      </w:r>
      <w:r>
        <w:rPr>
          <w:sz w:val="20"/>
          <w:szCs w:val="20"/>
          <w:vertAlign w:val="subscript"/>
        </w:rPr>
        <w:t>1</w:t>
      </w:r>
      <w:r>
        <w:rPr>
          <w:sz w:val="22"/>
          <w:szCs w:val="22"/>
        </w:rPr>
        <w:t xml:space="preserve"> will rebound from </w:t>
      </w:r>
      <w:r>
        <w:rPr>
          <w:rFonts w:ascii="Times New Roman" w:eastAsia="Times New Roman" w:hAnsi="Times New Roman" w:cs="Times New Roman"/>
          <w:sz w:val="30"/>
          <w:szCs w:val="30"/>
        </w:rPr>
        <w:t>T</w:t>
      </w:r>
      <w:r>
        <w:rPr>
          <w:sz w:val="20"/>
          <w:szCs w:val="20"/>
          <w:vertAlign w:val="subscript"/>
        </w:rPr>
        <w:t>2</w:t>
      </w:r>
      <w:r>
        <w:rPr>
          <w:sz w:val="22"/>
          <w:szCs w:val="22"/>
        </w:rPr>
        <w:t xml:space="preserve"> at 4.0 m s</w:t>
      </w:r>
      <w:r>
        <w:rPr>
          <w:sz w:val="20"/>
          <w:szCs w:val="20"/>
          <w:vertAlign w:val="superscript"/>
        </w:rPr>
        <w:t>–1</w:t>
      </w:r>
      <w:r>
        <w:rPr>
          <w:sz w:val="22"/>
          <w:szCs w:val="22"/>
        </w:rPr>
        <w:t>.</w:t>
      </w:r>
    </w:p>
    <w:p w:rsidR="00C053A2" w:rsidRDefault="00CF2B04">
      <w:pPr>
        <w:pBdr>
          <w:top w:val="nil"/>
          <w:left w:val="nil"/>
          <w:bottom w:val="nil"/>
          <w:right w:val="nil"/>
          <w:between w:val="nil"/>
        </w:pBdr>
        <w:spacing w:before="240"/>
        <w:ind w:left="567" w:right="567"/>
        <w:contextualSpacing w:val="0"/>
        <w:rPr>
          <w:sz w:val="22"/>
          <w:szCs w:val="22"/>
        </w:rPr>
      </w:pPr>
      <w:r>
        <w:rPr>
          <w:b/>
          <w:sz w:val="22"/>
          <w:szCs w:val="22"/>
        </w:rPr>
        <w:t>C</w:t>
      </w:r>
      <w:r>
        <w:rPr>
          <w:sz w:val="22"/>
          <w:szCs w:val="22"/>
        </w:rPr>
        <w:t>       </w:t>
      </w:r>
      <w:r>
        <w:rPr>
          <w:rFonts w:ascii="Times New Roman" w:eastAsia="Times New Roman" w:hAnsi="Times New Roman" w:cs="Times New Roman"/>
          <w:sz w:val="30"/>
          <w:szCs w:val="30"/>
        </w:rPr>
        <w:t>T</w:t>
      </w:r>
      <w:r>
        <w:rPr>
          <w:sz w:val="20"/>
          <w:szCs w:val="20"/>
          <w:vertAlign w:val="subscript"/>
        </w:rPr>
        <w:t>1</w:t>
      </w:r>
      <w:r>
        <w:rPr>
          <w:sz w:val="22"/>
          <w:szCs w:val="22"/>
        </w:rPr>
        <w:t xml:space="preserve"> and </w:t>
      </w:r>
      <w:r>
        <w:rPr>
          <w:rFonts w:ascii="Times New Roman" w:eastAsia="Times New Roman" w:hAnsi="Times New Roman" w:cs="Times New Roman"/>
          <w:sz w:val="30"/>
          <w:szCs w:val="30"/>
        </w:rPr>
        <w:t>T</w:t>
      </w:r>
      <w:r>
        <w:rPr>
          <w:sz w:val="20"/>
          <w:szCs w:val="20"/>
          <w:vertAlign w:val="subscript"/>
        </w:rPr>
        <w:t>2</w:t>
      </w:r>
      <w:r>
        <w:rPr>
          <w:sz w:val="22"/>
          <w:szCs w:val="22"/>
        </w:rPr>
        <w:t xml:space="preserve"> will both move at 2.8 m s</w:t>
      </w:r>
      <w:r>
        <w:rPr>
          <w:sz w:val="20"/>
          <w:szCs w:val="20"/>
          <w:vertAlign w:val="superscript"/>
        </w:rPr>
        <w:t>–1</w:t>
      </w:r>
      <w:r>
        <w:rPr>
          <w:sz w:val="22"/>
          <w:szCs w:val="22"/>
        </w:rPr>
        <w:t>.</w:t>
      </w:r>
    </w:p>
    <w:p w:rsidR="00C053A2" w:rsidRDefault="00CF2B04">
      <w:pPr>
        <w:pBdr>
          <w:top w:val="nil"/>
          <w:left w:val="nil"/>
          <w:bottom w:val="nil"/>
          <w:right w:val="nil"/>
          <w:between w:val="nil"/>
        </w:pBdr>
        <w:spacing w:before="240"/>
        <w:ind w:left="567" w:right="567"/>
        <w:contextualSpacing w:val="0"/>
        <w:rPr>
          <w:sz w:val="22"/>
          <w:szCs w:val="22"/>
        </w:rPr>
      </w:pPr>
      <w:r>
        <w:rPr>
          <w:b/>
          <w:sz w:val="22"/>
          <w:szCs w:val="22"/>
        </w:rPr>
        <w:t>D</w:t>
      </w:r>
      <w:r>
        <w:rPr>
          <w:sz w:val="22"/>
          <w:szCs w:val="22"/>
        </w:rPr>
        <w:t>       </w:t>
      </w:r>
      <w:r>
        <w:rPr>
          <w:rFonts w:ascii="Times New Roman" w:eastAsia="Times New Roman" w:hAnsi="Times New Roman" w:cs="Times New Roman"/>
          <w:sz w:val="30"/>
          <w:szCs w:val="30"/>
        </w:rPr>
        <w:t>T</w:t>
      </w:r>
      <w:r>
        <w:rPr>
          <w:sz w:val="20"/>
          <w:szCs w:val="20"/>
          <w:vertAlign w:val="subscript"/>
        </w:rPr>
        <w:t>1</w:t>
      </w:r>
      <w:r>
        <w:rPr>
          <w:sz w:val="22"/>
          <w:szCs w:val="22"/>
        </w:rPr>
        <w:t xml:space="preserve"> and </w:t>
      </w:r>
      <w:r>
        <w:rPr>
          <w:rFonts w:ascii="Times New Roman" w:eastAsia="Times New Roman" w:hAnsi="Times New Roman" w:cs="Times New Roman"/>
          <w:sz w:val="30"/>
          <w:szCs w:val="30"/>
        </w:rPr>
        <w:t>T</w:t>
      </w:r>
      <w:r>
        <w:rPr>
          <w:sz w:val="20"/>
          <w:szCs w:val="20"/>
          <w:vertAlign w:val="subscript"/>
        </w:rPr>
        <w:t>2</w:t>
      </w:r>
      <w:r>
        <w:rPr>
          <w:sz w:val="22"/>
          <w:szCs w:val="22"/>
        </w:rPr>
        <w:t xml:space="preserve"> will both move at 1.4 m s</w:t>
      </w:r>
      <w:r>
        <w:rPr>
          <w:sz w:val="20"/>
          <w:szCs w:val="20"/>
          <w:vertAlign w:val="superscript"/>
        </w:rPr>
        <w:t>–1</w:t>
      </w:r>
      <w:r>
        <w:rPr>
          <w:sz w:val="22"/>
          <w:szCs w:val="22"/>
        </w:rPr>
        <w:t>.</w:t>
      </w:r>
    </w:p>
    <w:p w:rsidR="00C053A2" w:rsidRDefault="00CF2B04">
      <w:pPr>
        <w:pBdr>
          <w:top w:val="nil"/>
          <w:left w:val="nil"/>
          <w:bottom w:val="nil"/>
          <w:right w:val="nil"/>
          <w:between w:val="nil"/>
        </w:pBdr>
        <w:contextualSpacing w:val="0"/>
        <w:jc w:val="right"/>
        <w:rPr>
          <w:b/>
          <w:sz w:val="20"/>
          <w:szCs w:val="20"/>
        </w:rPr>
      </w:pPr>
      <w:r>
        <w:rPr>
          <w:b/>
          <w:sz w:val="20"/>
          <w:szCs w:val="20"/>
        </w:rPr>
        <w:t>(Total 1 mark)</w:t>
      </w:r>
    </w:p>
    <w:p w:rsidR="00C053A2" w:rsidRDefault="00CF2B04">
      <w:pPr>
        <w:pBdr>
          <w:top w:val="nil"/>
          <w:left w:val="nil"/>
          <w:bottom w:val="nil"/>
          <w:right w:val="nil"/>
          <w:between w:val="nil"/>
        </w:pBdr>
        <w:spacing w:before="240"/>
        <w:ind w:left="567" w:right="567" w:hanging="567"/>
        <w:contextualSpacing w:val="0"/>
        <w:rPr>
          <w:sz w:val="22"/>
          <w:szCs w:val="22"/>
        </w:rPr>
      </w:pPr>
      <w:r>
        <w:rPr>
          <w:b/>
          <w:sz w:val="22"/>
          <w:szCs w:val="22"/>
        </w:rPr>
        <w:t>Q3.</w:t>
      </w:r>
      <w:r>
        <w:rPr>
          <w:sz w:val="22"/>
          <w:szCs w:val="22"/>
        </w:rPr>
        <w:t>A firework rocket is fired vertically into the air and explodes at its highest point. What are the changes to the total kinetic energy of the rocket and the total momentum of the rocket as a result of the explosion?</w:t>
      </w:r>
    </w:p>
    <w:p w:rsidR="00C053A2" w:rsidRDefault="00CF2B04">
      <w:pPr>
        <w:pBdr>
          <w:top w:val="nil"/>
          <w:left w:val="nil"/>
          <w:bottom w:val="nil"/>
          <w:right w:val="nil"/>
          <w:between w:val="nil"/>
        </w:pBdr>
        <w:contextualSpacing w:val="0"/>
        <w:rPr>
          <w:sz w:val="22"/>
          <w:szCs w:val="22"/>
        </w:rPr>
      </w:pPr>
      <w:r>
        <w:rPr>
          <w:sz w:val="22"/>
          <w:szCs w:val="22"/>
        </w:rPr>
        <w:t> </w:t>
      </w:r>
    </w:p>
    <w:tbl>
      <w:tblPr>
        <w:tblStyle w:val="a"/>
        <w:tblW w:w="7190"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50"/>
        <w:gridCol w:w="585"/>
        <w:gridCol w:w="2385"/>
        <w:gridCol w:w="2385"/>
        <w:gridCol w:w="1185"/>
      </w:tblGrid>
      <w:tr w:rsidR="00C053A2">
        <w:tc>
          <w:tcPr>
            <w:tcW w:w="650" w:type="dxa"/>
            <w:shd w:val="clear" w:color="auto" w:fill="auto"/>
            <w:tcMar>
              <w:top w:w="0" w:type="dxa"/>
              <w:left w:w="75" w:type="dxa"/>
              <w:bottom w:w="0" w:type="dxa"/>
              <w:right w:w="75" w:type="dxa"/>
            </w:tcMar>
            <w:vAlign w:val="center"/>
          </w:tcPr>
          <w:p w:rsidR="00C053A2" w:rsidRDefault="00CF2B04">
            <w:pPr>
              <w:pBdr>
                <w:top w:val="nil"/>
                <w:left w:val="nil"/>
                <w:bottom w:val="nil"/>
                <w:right w:val="nil"/>
                <w:between w:val="nil"/>
              </w:pBdr>
              <w:ind w:left="400"/>
              <w:contextualSpacing w:val="0"/>
              <w:rPr>
                <w:sz w:val="16"/>
                <w:szCs w:val="16"/>
              </w:rPr>
            </w:pPr>
            <w:r>
              <w:rPr>
                <w:sz w:val="16"/>
                <w:szCs w:val="16"/>
              </w:rPr>
              <w:t> </w:t>
            </w:r>
          </w:p>
        </w:tc>
        <w:tc>
          <w:tcPr>
            <w:tcW w:w="585" w:type="dxa"/>
            <w:shd w:val="clear" w:color="auto" w:fill="auto"/>
            <w:tcMar>
              <w:top w:w="0" w:type="dxa"/>
              <w:left w:w="75" w:type="dxa"/>
              <w:bottom w:w="0" w:type="dxa"/>
              <w:right w:w="75" w:type="dxa"/>
            </w:tcMar>
            <w:vAlign w:val="center"/>
          </w:tcPr>
          <w:p w:rsidR="00C053A2" w:rsidRDefault="00C053A2">
            <w:pPr>
              <w:pBdr>
                <w:top w:val="nil"/>
                <w:left w:val="nil"/>
                <w:bottom w:val="nil"/>
                <w:right w:val="nil"/>
                <w:between w:val="nil"/>
              </w:pBdr>
              <w:ind w:left="400"/>
              <w:contextualSpacing w:val="0"/>
              <w:rPr>
                <w:sz w:val="16"/>
                <w:szCs w:val="16"/>
              </w:rPr>
            </w:pPr>
          </w:p>
        </w:tc>
        <w:tc>
          <w:tcPr>
            <w:tcW w:w="2385" w:type="dxa"/>
            <w:shd w:val="clear" w:color="auto" w:fill="auto"/>
            <w:tcMar>
              <w:top w:w="0" w:type="dxa"/>
              <w:left w:w="75" w:type="dxa"/>
              <w:bottom w:w="0" w:type="dxa"/>
              <w:right w:w="75" w:type="dxa"/>
            </w:tcMar>
            <w:vAlign w:val="center"/>
          </w:tcPr>
          <w:p w:rsidR="00C053A2" w:rsidRDefault="00CF2B04">
            <w:pPr>
              <w:pBdr>
                <w:top w:val="nil"/>
                <w:left w:val="nil"/>
                <w:bottom w:val="nil"/>
                <w:right w:val="nil"/>
                <w:between w:val="nil"/>
              </w:pBdr>
              <w:spacing w:before="120" w:after="120"/>
              <w:contextualSpacing w:val="0"/>
              <w:jc w:val="center"/>
              <w:rPr>
                <w:b/>
                <w:sz w:val="22"/>
                <w:szCs w:val="22"/>
              </w:rPr>
            </w:pPr>
            <w:r>
              <w:rPr>
                <w:b/>
                <w:sz w:val="22"/>
                <w:szCs w:val="22"/>
              </w:rPr>
              <w:t xml:space="preserve">total kinetic energy of </w:t>
            </w:r>
            <w:r>
              <w:rPr>
                <w:b/>
                <w:sz w:val="22"/>
                <w:szCs w:val="22"/>
              </w:rPr>
              <w:br/>
              <w:t>rocket</w:t>
            </w:r>
          </w:p>
        </w:tc>
        <w:tc>
          <w:tcPr>
            <w:tcW w:w="2385" w:type="dxa"/>
            <w:shd w:val="clear" w:color="auto" w:fill="auto"/>
            <w:tcMar>
              <w:top w:w="0" w:type="dxa"/>
              <w:left w:w="75" w:type="dxa"/>
              <w:bottom w:w="0" w:type="dxa"/>
              <w:right w:w="75" w:type="dxa"/>
            </w:tcMar>
            <w:vAlign w:val="center"/>
          </w:tcPr>
          <w:p w:rsidR="00C053A2" w:rsidRDefault="00CF2B04">
            <w:pPr>
              <w:pBdr>
                <w:top w:val="nil"/>
                <w:left w:val="nil"/>
                <w:bottom w:val="nil"/>
                <w:right w:val="nil"/>
                <w:between w:val="nil"/>
              </w:pBdr>
              <w:spacing w:before="120" w:after="120"/>
              <w:contextualSpacing w:val="0"/>
              <w:jc w:val="center"/>
              <w:rPr>
                <w:b/>
                <w:sz w:val="22"/>
                <w:szCs w:val="22"/>
              </w:rPr>
            </w:pPr>
            <w:r>
              <w:rPr>
                <w:b/>
                <w:sz w:val="22"/>
                <w:szCs w:val="22"/>
              </w:rPr>
              <w:t xml:space="preserve">total momentum of </w:t>
            </w:r>
            <w:r>
              <w:rPr>
                <w:b/>
                <w:sz w:val="22"/>
                <w:szCs w:val="22"/>
              </w:rPr>
              <w:br/>
              <w:t>rocket</w:t>
            </w:r>
          </w:p>
        </w:tc>
        <w:tc>
          <w:tcPr>
            <w:tcW w:w="1185" w:type="dxa"/>
            <w:shd w:val="clear" w:color="auto" w:fill="auto"/>
            <w:tcMar>
              <w:top w:w="0" w:type="dxa"/>
              <w:left w:w="75" w:type="dxa"/>
              <w:bottom w:w="0" w:type="dxa"/>
              <w:right w:w="75" w:type="dxa"/>
            </w:tcMar>
            <w:vAlign w:val="center"/>
          </w:tcPr>
          <w:p w:rsidR="00C053A2" w:rsidRDefault="00CF2B04">
            <w:pPr>
              <w:pBdr>
                <w:top w:val="nil"/>
                <w:left w:val="nil"/>
                <w:bottom w:val="nil"/>
                <w:right w:val="nil"/>
                <w:between w:val="nil"/>
              </w:pBdr>
              <w:spacing w:before="120" w:after="120"/>
              <w:contextualSpacing w:val="0"/>
              <w:jc w:val="center"/>
              <w:rPr>
                <w:sz w:val="22"/>
                <w:szCs w:val="22"/>
              </w:rPr>
            </w:pPr>
            <w:r>
              <w:rPr>
                <w:sz w:val="22"/>
                <w:szCs w:val="22"/>
              </w:rPr>
              <w:t> </w:t>
            </w:r>
          </w:p>
        </w:tc>
      </w:tr>
      <w:tr w:rsidR="00C053A2">
        <w:tc>
          <w:tcPr>
            <w:tcW w:w="650" w:type="dxa"/>
            <w:shd w:val="clear" w:color="auto" w:fill="auto"/>
            <w:tcMar>
              <w:top w:w="0" w:type="dxa"/>
              <w:left w:w="75" w:type="dxa"/>
              <w:bottom w:w="0" w:type="dxa"/>
              <w:right w:w="75" w:type="dxa"/>
            </w:tcMar>
            <w:vAlign w:val="center"/>
          </w:tcPr>
          <w:p w:rsidR="00C053A2" w:rsidRDefault="00CF2B04">
            <w:pPr>
              <w:pBdr>
                <w:top w:val="nil"/>
                <w:left w:val="nil"/>
                <w:bottom w:val="nil"/>
                <w:right w:val="nil"/>
                <w:between w:val="nil"/>
              </w:pBdr>
              <w:ind w:left="400"/>
              <w:contextualSpacing w:val="0"/>
              <w:rPr>
                <w:sz w:val="16"/>
                <w:szCs w:val="16"/>
              </w:rPr>
            </w:pPr>
            <w:r>
              <w:rPr>
                <w:sz w:val="16"/>
                <w:szCs w:val="16"/>
              </w:rPr>
              <w:t> </w:t>
            </w:r>
          </w:p>
        </w:tc>
        <w:tc>
          <w:tcPr>
            <w:tcW w:w="585" w:type="dxa"/>
            <w:shd w:val="clear" w:color="auto" w:fill="auto"/>
            <w:tcMar>
              <w:top w:w="0" w:type="dxa"/>
              <w:left w:w="75" w:type="dxa"/>
              <w:bottom w:w="0" w:type="dxa"/>
              <w:right w:w="75" w:type="dxa"/>
            </w:tcMar>
            <w:vAlign w:val="center"/>
          </w:tcPr>
          <w:p w:rsidR="00C053A2" w:rsidRDefault="00CF2B04">
            <w:pPr>
              <w:pBdr>
                <w:top w:val="nil"/>
                <w:left w:val="nil"/>
                <w:bottom w:val="nil"/>
                <w:right w:val="nil"/>
                <w:between w:val="nil"/>
              </w:pBdr>
              <w:spacing w:before="120" w:after="120"/>
              <w:contextualSpacing w:val="0"/>
              <w:rPr>
                <w:b/>
                <w:sz w:val="22"/>
                <w:szCs w:val="22"/>
              </w:rPr>
            </w:pPr>
            <w:r>
              <w:rPr>
                <w:b/>
                <w:sz w:val="22"/>
                <w:szCs w:val="22"/>
              </w:rPr>
              <w:t>A</w:t>
            </w:r>
          </w:p>
        </w:tc>
        <w:tc>
          <w:tcPr>
            <w:tcW w:w="2385" w:type="dxa"/>
            <w:shd w:val="clear" w:color="auto" w:fill="auto"/>
            <w:tcMar>
              <w:top w:w="0" w:type="dxa"/>
              <w:left w:w="75" w:type="dxa"/>
              <w:bottom w:w="0" w:type="dxa"/>
              <w:right w:w="75" w:type="dxa"/>
            </w:tcMar>
            <w:vAlign w:val="center"/>
          </w:tcPr>
          <w:p w:rsidR="00C053A2" w:rsidRDefault="00CF2B04">
            <w:pPr>
              <w:pBdr>
                <w:top w:val="nil"/>
                <w:left w:val="nil"/>
                <w:bottom w:val="nil"/>
                <w:right w:val="nil"/>
                <w:between w:val="nil"/>
              </w:pBdr>
              <w:spacing w:before="120" w:after="120"/>
              <w:contextualSpacing w:val="0"/>
              <w:jc w:val="center"/>
              <w:rPr>
                <w:sz w:val="22"/>
                <w:szCs w:val="22"/>
              </w:rPr>
            </w:pPr>
            <w:r>
              <w:rPr>
                <w:sz w:val="22"/>
                <w:szCs w:val="22"/>
              </w:rPr>
              <w:t>unchanged</w:t>
            </w:r>
          </w:p>
        </w:tc>
        <w:tc>
          <w:tcPr>
            <w:tcW w:w="2385" w:type="dxa"/>
            <w:shd w:val="clear" w:color="auto" w:fill="auto"/>
            <w:tcMar>
              <w:top w:w="0" w:type="dxa"/>
              <w:left w:w="75" w:type="dxa"/>
              <w:bottom w:w="0" w:type="dxa"/>
              <w:right w:w="75" w:type="dxa"/>
            </w:tcMar>
            <w:vAlign w:val="center"/>
          </w:tcPr>
          <w:p w:rsidR="00C053A2" w:rsidRDefault="00CF2B04">
            <w:pPr>
              <w:pBdr>
                <w:top w:val="nil"/>
                <w:left w:val="nil"/>
                <w:bottom w:val="nil"/>
                <w:right w:val="nil"/>
                <w:between w:val="nil"/>
              </w:pBdr>
              <w:spacing w:before="120" w:after="120"/>
              <w:contextualSpacing w:val="0"/>
              <w:jc w:val="center"/>
              <w:rPr>
                <w:sz w:val="22"/>
                <w:szCs w:val="22"/>
              </w:rPr>
            </w:pPr>
            <w:r>
              <w:rPr>
                <w:sz w:val="22"/>
                <w:szCs w:val="22"/>
              </w:rPr>
              <w:t>unchanged</w:t>
            </w:r>
          </w:p>
        </w:tc>
        <w:tc>
          <w:tcPr>
            <w:tcW w:w="1185" w:type="dxa"/>
            <w:shd w:val="clear" w:color="auto" w:fill="auto"/>
            <w:tcMar>
              <w:top w:w="0" w:type="dxa"/>
              <w:left w:w="75" w:type="dxa"/>
              <w:bottom w:w="0" w:type="dxa"/>
              <w:right w:w="75" w:type="dxa"/>
            </w:tcMar>
            <w:vAlign w:val="center"/>
          </w:tcPr>
          <w:p w:rsidR="00C053A2" w:rsidRDefault="00CF2B04">
            <w:pPr>
              <w:pBdr>
                <w:top w:val="nil"/>
                <w:left w:val="nil"/>
                <w:bottom w:val="nil"/>
                <w:right w:val="nil"/>
                <w:between w:val="nil"/>
              </w:pBdr>
              <w:spacing w:before="120" w:after="120"/>
              <w:contextualSpacing w:val="0"/>
              <w:jc w:val="center"/>
              <w:rPr>
                <w:sz w:val="22"/>
                <w:szCs w:val="22"/>
              </w:rPr>
            </w:pPr>
            <w:r>
              <w:rPr>
                <w:sz w:val="22"/>
                <w:szCs w:val="22"/>
              </w:rPr>
              <w:t> </w:t>
            </w:r>
            <w:r>
              <w:rPr>
                <w:noProof/>
                <w:sz w:val="22"/>
                <w:szCs w:val="22"/>
              </w:rPr>
              <w:drawing>
                <wp:inline distT="0" distB="0" distL="114300" distR="114300">
                  <wp:extent cx="295275" cy="190500"/>
                  <wp:effectExtent l="0" t="0" r="0" b="0"/>
                  <wp:docPr id="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
                          <a:srcRect/>
                          <a:stretch>
                            <a:fillRect/>
                          </a:stretch>
                        </pic:blipFill>
                        <pic:spPr>
                          <a:xfrm>
                            <a:off x="0" y="0"/>
                            <a:ext cx="295275" cy="190500"/>
                          </a:xfrm>
                          <a:prstGeom prst="rect">
                            <a:avLst/>
                          </a:prstGeom>
                          <a:ln/>
                        </pic:spPr>
                      </pic:pic>
                    </a:graphicData>
                  </a:graphic>
                </wp:inline>
              </w:drawing>
            </w:r>
          </w:p>
        </w:tc>
      </w:tr>
      <w:tr w:rsidR="00C053A2">
        <w:tc>
          <w:tcPr>
            <w:tcW w:w="650" w:type="dxa"/>
            <w:shd w:val="clear" w:color="auto" w:fill="auto"/>
            <w:tcMar>
              <w:top w:w="0" w:type="dxa"/>
              <w:left w:w="75" w:type="dxa"/>
              <w:bottom w:w="0" w:type="dxa"/>
              <w:right w:w="75" w:type="dxa"/>
            </w:tcMar>
            <w:vAlign w:val="center"/>
          </w:tcPr>
          <w:p w:rsidR="00C053A2" w:rsidRDefault="00CF2B04">
            <w:pPr>
              <w:pBdr>
                <w:top w:val="nil"/>
                <w:left w:val="nil"/>
                <w:bottom w:val="nil"/>
                <w:right w:val="nil"/>
                <w:between w:val="nil"/>
              </w:pBdr>
              <w:ind w:left="400"/>
              <w:contextualSpacing w:val="0"/>
              <w:rPr>
                <w:sz w:val="16"/>
                <w:szCs w:val="16"/>
              </w:rPr>
            </w:pPr>
            <w:r>
              <w:rPr>
                <w:sz w:val="16"/>
                <w:szCs w:val="16"/>
              </w:rPr>
              <w:t> </w:t>
            </w:r>
          </w:p>
        </w:tc>
        <w:tc>
          <w:tcPr>
            <w:tcW w:w="585" w:type="dxa"/>
            <w:shd w:val="clear" w:color="auto" w:fill="auto"/>
            <w:tcMar>
              <w:top w:w="0" w:type="dxa"/>
              <w:left w:w="75" w:type="dxa"/>
              <w:bottom w:w="0" w:type="dxa"/>
              <w:right w:w="75" w:type="dxa"/>
            </w:tcMar>
            <w:vAlign w:val="center"/>
          </w:tcPr>
          <w:p w:rsidR="00C053A2" w:rsidRDefault="00CF2B04">
            <w:pPr>
              <w:pBdr>
                <w:top w:val="nil"/>
                <w:left w:val="nil"/>
                <w:bottom w:val="nil"/>
                <w:right w:val="nil"/>
                <w:between w:val="nil"/>
              </w:pBdr>
              <w:spacing w:before="120" w:after="120"/>
              <w:contextualSpacing w:val="0"/>
              <w:rPr>
                <w:b/>
                <w:sz w:val="22"/>
                <w:szCs w:val="22"/>
              </w:rPr>
            </w:pPr>
            <w:r>
              <w:rPr>
                <w:b/>
                <w:sz w:val="22"/>
                <w:szCs w:val="22"/>
              </w:rPr>
              <w:t>B</w:t>
            </w:r>
          </w:p>
        </w:tc>
        <w:tc>
          <w:tcPr>
            <w:tcW w:w="2385" w:type="dxa"/>
            <w:shd w:val="clear" w:color="auto" w:fill="auto"/>
            <w:tcMar>
              <w:top w:w="0" w:type="dxa"/>
              <w:left w:w="75" w:type="dxa"/>
              <w:bottom w:w="0" w:type="dxa"/>
              <w:right w:w="75" w:type="dxa"/>
            </w:tcMar>
            <w:vAlign w:val="center"/>
          </w:tcPr>
          <w:p w:rsidR="00C053A2" w:rsidRDefault="00CF2B04">
            <w:pPr>
              <w:pBdr>
                <w:top w:val="nil"/>
                <w:left w:val="nil"/>
                <w:bottom w:val="nil"/>
                <w:right w:val="nil"/>
                <w:between w:val="nil"/>
              </w:pBdr>
              <w:spacing w:before="120" w:after="120"/>
              <w:contextualSpacing w:val="0"/>
              <w:jc w:val="center"/>
              <w:rPr>
                <w:sz w:val="22"/>
                <w:szCs w:val="22"/>
              </w:rPr>
            </w:pPr>
            <w:r>
              <w:rPr>
                <w:sz w:val="22"/>
                <w:szCs w:val="22"/>
              </w:rPr>
              <w:t>unchanged</w:t>
            </w:r>
          </w:p>
        </w:tc>
        <w:tc>
          <w:tcPr>
            <w:tcW w:w="2385" w:type="dxa"/>
            <w:shd w:val="clear" w:color="auto" w:fill="auto"/>
            <w:tcMar>
              <w:top w:w="0" w:type="dxa"/>
              <w:left w:w="75" w:type="dxa"/>
              <w:bottom w:w="0" w:type="dxa"/>
              <w:right w:w="75" w:type="dxa"/>
            </w:tcMar>
            <w:vAlign w:val="center"/>
          </w:tcPr>
          <w:p w:rsidR="00C053A2" w:rsidRDefault="00CF2B04">
            <w:pPr>
              <w:pBdr>
                <w:top w:val="nil"/>
                <w:left w:val="nil"/>
                <w:bottom w:val="nil"/>
                <w:right w:val="nil"/>
                <w:between w:val="nil"/>
              </w:pBdr>
              <w:spacing w:before="120" w:after="120"/>
              <w:contextualSpacing w:val="0"/>
              <w:jc w:val="center"/>
              <w:rPr>
                <w:sz w:val="22"/>
                <w:szCs w:val="22"/>
              </w:rPr>
            </w:pPr>
            <w:r>
              <w:rPr>
                <w:sz w:val="22"/>
                <w:szCs w:val="22"/>
              </w:rPr>
              <w:t>increased</w:t>
            </w:r>
          </w:p>
        </w:tc>
        <w:tc>
          <w:tcPr>
            <w:tcW w:w="1185" w:type="dxa"/>
            <w:shd w:val="clear" w:color="auto" w:fill="auto"/>
            <w:tcMar>
              <w:top w:w="0" w:type="dxa"/>
              <w:left w:w="75" w:type="dxa"/>
              <w:bottom w:w="0" w:type="dxa"/>
              <w:right w:w="75" w:type="dxa"/>
            </w:tcMar>
            <w:vAlign w:val="center"/>
          </w:tcPr>
          <w:p w:rsidR="00C053A2" w:rsidRDefault="00CF2B04">
            <w:pPr>
              <w:pBdr>
                <w:top w:val="nil"/>
                <w:left w:val="nil"/>
                <w:bottom w:val="nil"/>
                <w:right w:val="nil"/>
                <w:between w:val="nil"/>
              </w:pBdr>
              <w:spacing w:before="120" w:after="120"/>
              <w:contextualSpacing w:val="0"/>
              <w:jc w:val="center"/>
              <w:rPr>
                <w:sz w:val="22"/>
                <w:szCs w:val="22"/>
              </w:rPr>
            </w:pPr>
            <w:r>
              <w:rPr>
                <w:sz w:val="22"/>
                <w:szCs w:val="22"/>
              </w:rPr>
              <w:t> </w:t>
            </w:r>
            <w:r>
              <w:rPr>
                <w:noProof/>
                <w:sz w:val="22"/>
                <w:szCs w:val="22"/>
              </w:rPr>
              <w:drawing>
                <wp:inline distT="0" distB="0" distL="114300" distR="114300">
                  <wp:extent cx="295275" cy="190500"/>
                  <wp:effectExtent l="0" t="0" r="0" b="0"/>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295275" cy="190500"/>
                          </a:xfrm>
                          <a:prstGeom prst="rect">
                            <a:avLst/>
                          </a:prstGeom>
                          <a:ln/>
                        </pic:spPr>
                      </pic:pic>
                    </a:graphicData>
                  </a:graphic>
                </wp:inline>
              </w:drawing>
            </w:r>
          </w:p>
        </w:tc>
      </w:tr>
      <w:tr w:rsidR="00C053A2">
        <w:tc>
          <w:tcPr>
            <w:tcW w:w="650" w:type="dxa"/>
            <w:shd w:val="clear" w:color="auto" w:fill="auto"/>
            <w:tcMar>
              <w:top w:w="0" w:type="dxa"/>
              <w:left w:w="75" w:type="dxa"/>
              <w:bottom w:w="0" w:type="dxa"/>
              <w:right w:w="75" w:type="dxa"/>
            </w:tcMar>
            <w:vAlign w:val="center"/>
          </w:tcPr>
          <w:p w:rsidR="00C053A2" w:rsidRDefault="00CF2B04">
            <w:pPr>
              <w:pBdr>
                <w:top w:val="nil"/>
                <w:left w:val="nil"/>
                <w:bottom w:val="nil"/>
                <w:right w:val="nil"/>
                <w:between w:val="nil"/>
              </w:pBdr>
              <w:ind w:left="400"/>
              <w:contextualSpacing w:val="0"/>
              <w:rPr>
                <w:sz w:val="16"/>
                <w:szCs w:val="16"/>
              </w:rPr>
            </w:pPr>
            <w:r>
              <w:rPr>
                <w:sz w:val="16"/>
                <w:szCs w:val="16"/>
              </w:rPr>
              <w:t> </w:t>
            </w:r>
          </w:p>
        </w:tc>
        <w:tc>
          <w:tcPr>
            <w:tcW w:w="585" w:type="dxa"/>
            <w:shd w:val="clear" w:color="auto" w:fill="auto"/>
            <w:tcMar>
              <w:top w:w="0" w:type="dxa"/>
              <w:left w:w="75" w:type="dxa"/>
              <w:bottom w:w="0" w:type="dxa"/>
              <w:right w:w="75" w:type="dxa"/>
            </w:tcMar>
            <w:vAlign w:val="center"/>
          </w:tcPr>
          <w:p w:rsidR="00C053A2" w:rsidRDefault="00CF2B04">
            <w:pPr>
              <w:pBdr>
                <w:top w:val="nil"/>
                <w:left w:val="nil"/>
                <w:bottom w:val="nil"/>
                <w:right w:val="nil"/>
                <w:between w:val="nil"/>
              </w:pBdr>
              <w:spacing w:before="120" w:after="120"/>
              <w:contextualSpacing w:val="0"/>
              <w:rPr>
                <w:b/>
                <w:sz w:val="22"/>
                <w:szCs w:val="22"/>
              </w:rPr>
            </w:pPr>
            <w:r>
              <w:rPr>
                <w:b/>
                <w:sz w:val="22"/>
                <w:szCs w:val="22"/>
              </w:rPr>
              <w:t>C</w:t>
            </w:r>
          </w:p>
        </w:tc>
        <w:tc>
          <w:tcPr>
            <w:tcW w:w="2385" w:type="dxa"/>
            <w:shd w:val="clear" w:color="auto" w:fill="auto"/>
            <w:tcMar>
              <w:top w:w="0" w:type="dxa"/>
              <w:left w:w="75" w:type="dxa"/>
              <w:bottom w:w="0" w:type="dxa"/>
              <w:right w:w="75" w:type="dxa"/>
            </w:tcMar>
            <w:vAlign w:val="center"/>
          </w:tcPr>
          <w:p w:rsidR="00C053A2" w:rsidRDefault="00CF2B04">
            <w:pPr>
              <w:pBdr>
                <w:top w:val="nil"/>
                <w:left w:val="nil"/>
                <w:bottom w:val="nil"/>
                <w:right w:val="nil"/>
                <w:between w:val="nil"/>
              </w:pBdr>
              <w:spacing w:before="120" w:after="120"/>
              <w:contextualSpacing w:val="0"/>
              <w:jc w:val="center"/>
              <w:rPr>
                <w:sz w:val="22"/>
                <w:szCs w:val="22"/>
              </w:rPr>
            </w:pPr>
            <w:r>
              <w:rPr>
                <w:sz w:val="22"/>
                <w:szCs w:val="22"/>
              </w:rPr>
              <w:t>increased</w:t>
            </w:r>
          </w:p>
        </w:tc>
        <w:tc>
          <w:tcPr>
            <w:tcW w:w="2385" w:type="dxa"/>
            <w:shd w:val="clear" w:color="auto" w:fill="auto"/>
            <w:tcMar>
              <w:top w:w="0" w:type="dxa"/>
              <w:left w:w="75" w:type="dxa"/>
              <w:bottom w:w="0" w:type="dxa"/>
              <w:right w:w="75" w:type="dxa"/>
            </w:tcMar>
            <w:vAlign w:val="center"/>
          </w:tcPr>
          <w:p w:rsidR="00C053A2" w:rsidRDefault="00CF2B04">
            <w:pPr>
              <w:pBdr>
                <w:top w:val="nil"/>
                <w:left w:val="nil"/>
                <w:bottom w:val="nil"/>
                <w:right w:val="nil"/>
                <w:between w:val="nil"/>
              </w:pBdr>
              <w:spacing w:before="120" w:after="120"/>
              <w:contextualSpacing w:val="0"/>
              <w:jc w:val="center"/>
              <w:rPr>
                <w:sz w:val="22"/>
                <w:szCs w:val="22"/>
              </w:rPr>
            </w:pPr>
            <w:r>
              <w:rPr>
                <w:sz w:val="22"/>
                <w:szCs w:val="22"/>
              </w:rPr>
              <w:t>unchanged</w:t>
            </w:r>
          </w:p>
        </w:tc>
        <w:tc>
          <w:tcPr>
            <w:tcW w:w="1185" w:type="dxa"/>
            <w:shd w:val="clear" w:color="auto" w:fill="auto"/>
            <w:tcMar>
              <w:top w:w="0" w:type="dxa"/>
              <w:left w:w="75" w:type="dxa"/>
              <w:bottom w:w="0" w:type="dxa"/>
              <w:right w:w="75" w:type="dxa"/>
            </w:tcMar>
            <w:vAlign w:val="center"/>
          </w:tcPr>
          <w:p w:rsidR="00C053A2" w:rsidRDefault="00CF2B04">
            <w:pPr>
              <w:pBdr>
                <w:top w:val="nil"/>
                <w:left w:val="nil"/>
                <w:bottom w:val="nil"/>
                <w:right w:val="nil"/>
                <w:between w:val="nil"/>
              </w:pBdr>
              <w:spacing w:before="120" w:after="120"/>
              <w:contextualSpacing w:val="0"/>
              <w:jc w:val="center"/>
              <w:rPr>
                <w:sz w:val="22"/>
                <w:szCs w:val="22"/>
              </w:rPr>
            </w:pPr>
            <w:r>
              <w:rPr>
                <w:sz w:val="22"/>
                <w:szCs w:val="22"/>
              </w:rPr>
              <w:t> </w:t>
            </w:r>
            <w:r>
              <w:rPr>
                <w:noProof/>
                <w:sz w:val="22"/>
                <w:szCs w:val="22"/>
              </w:rPr>
              <w:drawing>
                <wp:inline distT="0" distB="0" distL="114300" distR="114300">
                  <wp:extent cx="295275" cy="190500"/>
                  <wp:effectExtent l="0" t="0" r="0" b="0"/>
                  <wp:docPr id="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7"/>
                          <a:srcRect/>
                          <a:stretch>
                            <a:fillRect/>
                          </a:stretch>
                        </pic:blipFill>
                        <pic:spPr>
                          <a:xfrm>
                            <a:off x="0" y="0"/>
                            <a:ext cx="295275" cy="190500"/>
                          </a:xfrm>
                          <a:prstGeom prst="rect">
                            <a:avLst/>
                          </a:prstGeom>
                          <a:ln/>
                        </pic:spPr>
                      </pic:pic>
                    </a:graphicData>
                  </a:graphic>
                </wp:inline>
              </w:drawing>
            </w:r>
          </w:p>
        </w:tc>
      </w:tr>
      <w:tr w:rsidR="00C053A2">
        <w:tc>
          <w:tcPr>
            <w:tcW w:w="650" w:type="dxa"/>
            <w:shd w:val="clear" w:color="auto" w:fill="auto"/>
            <w:tcMar>
              <w:top w:w="0" w:type="dxa"/>
              <w:left w:w="75" w:type="dxa"/>
              <w:bottom w:w="0" w:type="dxa"/>
              <w:right w:w="75" w:type="dxa"/>
            </w:tcMar>
            <w:vAlign w:val="center"/>
          </w:tcPr>
          <w:p w:rsidR="00C053A2" w:rsidRDefault="00CF2B04">
            <w:pPr>
              <w:pBdr>
                <w:top w:val="nil"/>
                <w:left w:val="nil"/>
                <w:bottom w:val="nil"/>
                <w:right w:val="nil"/>
                <w:between w:val="nil"/>
              </w:pBdr>
              <w:ind w:left="400"/>
              <w:contextualSpacing w:val="0"/>
              <w:rPr>
                <w:sz w:val="16"/>
                <w:szCs w:val="16"/>
              </w:rPr>
            </w:pPr>
            <w:r>
              <w:rPr>
                <w:sz w:val="16"/>
                <w:szCs w:val="16"/>
              </w:rPr>
              <w:t> </w:t>
            </w:r>
          </w:p>
        </w:tc>
        <w:tc>
          <w:tcPr>
            <w:tcW w:w="585" w:type="dxa"/>
            <w:shd w:val="clear" w:color="auto" w:fill="auto"/>
            <w:tcMar>
              <w:top w:w="0" w:type="dxa"/>
              <w:left w:w="75" w:type="dxa"/>
              <w:bottom w:w="0" w:type="dxa"/>
              <w:right w:w="75" w:type="dxa"/>
            </w:tcMar>
            <w:vAlign w:val="center"/>
          </w:tcPr>
          <w:p w:rsidR="00C053A2" w:rsidRDefault="00CF2B04">
            <w:pPr>
              <w:pBdr>
                <w:top w:val="nil"/>
                <w:left w:val="nil"/>
                <w:bottom w:val="nil"/>
                <w:right w:val="nil"/>
                <w:between w:val="nil"/>
              </w:pBdr>
              <w:spacing w:before="120" w:after="120"/>
              <w:contextualSpacing w:val="0"/>
              <w:rPr>
                <w:b/>
                <w:sz w:val="22"/>
                <w:szCs w:val="22"/>
              </w:rPr>
            </w:pPr>
            <w:r>
              <w:rPr>
                <w:b/>
                <w:sz w:val="22"/>
                <w:szCs w:val="22"/>
              </w:rPr>
              <w:t>D</w:t>
            </w:r>
          </w:p>
        </w:tc>
        <w:tc>
          <w:tcPr>
            <w:tcW w:w="2385" w:type="dxa"/>
            <w:shd w:val="clear" w:color="auto" w:fill="auto"/>
            <w:tcMar>
              <w:top w:w="0" w:type="dxa"/>
              <w:left w:w="75" w:type="dxa"/>
              <w:bottom w:w="0" w:type="dxa"/>
              <w:right w:w="75" w:type="dxa"/>
            </w:tcMar>
            <w:vAlign w:val="center"/>
          </w:tcPr>
          <w:p w:rsidR="00C053A2" w:rsidRDefault="00CF2B04">
            <w:pPr>
              <w:pBdr>
                <w:top w:val="nil"/>
                <w:left w:val="nil"/>
                <w:bottom w:val="nil"/>
                <w:right w:val="nil"/>
                <w:between w:val="nil"/>
              </w:pBdr>
              <w:spacing w:before="120" w:after="120"/>
              <w:contextualSpacing w:val="0"/>
              <w:jc w:val="center"/>
              <w:rPr>
                <w:sz w:val="22"/>
                <w:szCs w:val="22"/>
              </w:rPr>
            </w:pPr>
            <w:r>
              <w:rPr>
                <w:sz w:val="22"/>
                <w:szCs w:val="22"/>
              </w:rPr>
              <w:t>increased</w:t>
            </w:r>
          </w:p>
        </w:tc>
        <w:tc>
          <w:tcPr>
            <w:tcW w:w="2385" w:type="dxa"/>
            <w:shd w:val="clear" w:color="auto" w:fill="auto"/>
            <w:tcMar>
              <w:top w:w="0" w:type="dxa"/>
              <w:left w:w="75" w:type="dxa"/>
              <w:bottom w:w="0" w:type="dxa"/>
              <w:right w:w="75" w:type="dxa"/>
            </w:tcMar>
            <w:vAlign w:val="center"/>
          </w:tcPr>
          <w:p w:rsidR="00C053A2" w:rsidRDefault="00CF2B04">
            <w:pPr>
              <w:pBdr>
                <w:top w:val="nil"/>
                <w:left w:val="nil"/>
                <w:bottom w:val="nil"/>
                <w:right w:val="nil"/>
                <w:between w:val="nil"/>
              </w:pBdr>
              <w:spacing w:before="120" w:after="120"/>
              <w:contextualSpacing w:val="0"/>
              <w:jc w:val="center"/>
              <w:rPr>
                <w:sz w:val="22"/>
                <w:szCs w:val="22"/>
              </w:rPr>
            </w:pPr>
            <w:r>
              <w:rPr>
                <w:sz w:val="22"/>
                <w:szCs w:val="22"/>
              </w:rPr>
              <w:t>increased</w:t>
            </w:r>
          </w:p>
        </w:tc>
        <w:tc>
          <w:tcPr>
            <w:tcW w:w="1185" w:type="dxa"/>
            <w:shd w:val="clear" w:color="auto" w:fill="auto"/>
            <w:tcMar>
              <w:top w:w="0" w:type="dxa"/>
              <w:left w:w="75" w:type="dxa"/>
              <w:bottom w:w="0" w:type="dxa"/>
              <w:right w:w="75" w:type="dxa"/>
            </w:tcMar>
            <w:vAlign w:val="center"/>
          </w:tcPr>
          <w:p w:rsidR="00C053A2" w:rsidRDefault="00CF2B04">
            <w:pPr>
              <w:pBdr>
                <w:top w:val="nil"/>
                <w:left w:val="nil"/>
                <w:bottom w:val="nil"/>
                <w:right w:val="nil"/>
                <w:between w:val="nil"/>
              </w:pBdr>
              <w:spacing w:before="120" w:after="120"/>
              <w:contextualSpacing w:val="0"/>
              <w:jc w:val="center"/>
              <w:rPr>
                <w:sz w:val="22"/>
                <w:szCs w:val="22"/>
              </w:rPr>
            </w:pPr>
            <w:r>
              <w:rPr>
                <w:sz w:val="22"/>
                <w:szCs w:val="22"/>
              </w:rPr>
              <w:t> </w:t>
            </w:r>
            <w:r>
              <w:rPr>
                <w:noProof/>
                <w:sz w:val="22"/>
                <w:szCs w:val="22"/>
              </w:rPr>
              <w:drawing>
                <wp:inline distT="0" distB="0" distL="114300" distR="114300">
                  <wp:extent cx="295275" cy="190500"/>
                  <wp:effectExtent l="0" t="0" r="0" b="0"/>
                  <wp:docPr id="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7"/>
                          <a:srcRect/>
                          <a:stretch>
                            <a:fillRect/>
                          </a:stretch>
                        </pic:blipFill>
                        <pic:spPr>
                          <a:xfrm>
                            <a:off x="0" y="0"/>
                            <a:ext cx="295275" cy="190500"/>
                          </a:xfrm>
                          <a:prstGeom prst="rect">
                            <a:avLst/>
                          </a:prstGeom>
                          <a:ln/>
                        </pic:spPr>
                      </pic:pic>
                    </a:graphicData>
                  </a:graphic>
                </wp:inline>
              </w:drawing>
            </w:r>
          </w:p>
        </w:tc>
      </w:tr>
    </w:tbl>
    <w:p w:rsidR="00C053A2" w:rsidRDefault="00C053A2">
      <w:pPr>
        <w:pBdr>
          <w:top w:val="nil"/>
          <w:left w:val="nil"/>
          <w:bottom w:val="nil"/>
          <w:right w:val="nil"/>
          <w:between w:val="nil"/>
        </w:pBdr>
        <w:contextualSpacing w:val="0"/>
        <w:rPr>
          <w:sz w:val="22"/>
          <w:szCs w:val="22"/>
        </w:rPr>
      </w:pPr>
    </w:p>
    <w:p w:rsidR="00C053A2" w:rsidRDefault="00CF2B04">
      <w:pPr>
        <w:pBdr>
          <w:top w:val="nil"/>
          <w:left w:val="nil"/>
          <w:bottom w:val="nil"/>
          <w:right w:val="nil"/>
          <w:between w:val="nil"/>
        </w:pBdr>
        <w:contextualSpacing w:val="0"/>
        <w:jc w:val="right"/>
        <w:rPr>
          <w:b/>
          <w:sz w:val="20"/>
          <w:szCs w:val="20"/>
        </w:rPr>
      </w:pPr>
      <w:r>
        <w:rPr>
          <w:b/>
          <w:sz w:val="20"/>
          <w:szCs w:val="20"/>
        </w:rPr>
        <w:lastRenderedPageBreak/>
        <w:t>(Total 1 mark)</w:t>
      </w:r>
    </w:p>
    <w:p w:rsidR="00C053A2" w:rsidRDefault="00C053A2">
      <w:pPr>
        <w:pBdr>
          <w:top w:val="nil"/>
          <w:left w:val="nil"/>
          <w:bottom w:val="nil"/>
          <w:right w:val="nil"/>
          <w:between w:val="nil"/>
        </w:pBdr>
        <w:contextualSpacing w:val="0"/>
        <w:jc w:val="right"/>
        <w:rPr>
          <w:b/>
          <w:sz w:val="20"/>
          <w:szCs w:val="20"/>
        </w:rPr>
      </w:pPr>
    </w:p>
    <w:p w:rsidR="00C053A2" w:rsidRDefault="00CF2B04">
      <w:pPr>
        <w:pBdr>
          <w:top w:val="nil"/>
          <w:left w:val="nil"/>
          <w:bottom w:val="nil"/>
          <w:right w:val="nil"/>
          <w:between w:val="nil"/>
        </w:pBdr>
        <w:spacing w:before="240"/>
        <w:ind w:left="567" w:right="567" w:hanging="567"/>
        <w:contextualSpacing w:val="0"/>
        <w:rPr>
          <w:sz w:val="22"/>
          <w:szCs w:val="22"/>
        </w:rPr>
      </w:pPr>
      <w:r>
        <w:rPr>
          <w:b/>
          <w:sz w:val="22"/>
          <w:szCs w:val="22"/>
        </w:rPr>
        <w:t>Q4.</w:t>
      </w:r>
      <w:r>
        <w:rPr>
          <w:sz w:val="22"/>
          <w:szCs w:val="22"/>
        </w:rPr>
        <w:t xml:space="preserve">Which of the following is </w:t>
      </w:r>
      <w:r>
        <w:rPr>
          <w:b/>
          <w:sz w:val="22"/>
          <w:szCs w:val="22"/>
        </w:rPr>
        <w:t>not</w:t>
      </w:r>
      <w:r>
        <w:rPr>
          <w:sz w:val="22"/>
          <w:szCs w:val="22"/>
        </w:rPr>
        <w:t xml:space="preserve"> a unit of power?</w:t>
      </w:r>
    </w:p>
    <w:p w:rsidR="00C053A2" w:rsidRDefault="00CF2B04">
      <w:pPr>
        <w:pBdr>
          <w:top w:val="nil"/>
          <w:left w:val="nil"/>
          <w:bottom w:val="nil"/>
          <w:right w:val="nil"/>
          <w:between w:val="nil"/>
        </w:pBdr>
        <w:contextualSpacing w:val="0"/>
        <w:rPr>
          <w:sz w:val="22"/>
          <w:szCs w:val="22"/>
        </w:rPr>
      </w:pPr>
      <w:r>
        <w:rPr>
          <w:sz w:val="22"/>
          <w:szCs w:val="22"/>
        </w:rPr>
        <w:t> </w:t>
      </w:r>
    </w:p>
    <w:tbl>
      <w:tblPr>
        <w:tblStyle w:val="a0"/>
        <w:tblW w:w="2955"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5"/>
        <w:gridCol w:w="1185"/>
        <w:gridCol w:w="1185"/>
      </w:tblGrid>
      <w:tr w:rsidR="00C053A2">
        <w:tc>
          <w:tcPr>
            <w:tcW w:w="585" w:type="dxa"/>
            <w:shd w:val="clear" w:color="auto" w:fill="auto"/>
            <w:tcMar>
              <w:top w:w="0" w:type="dxa"/>
              <w:left w:w="75" w:type="dxa"/>
              <w:bottom w:w="0" w:type="dxa"/>
              <w:right w:w="75" w:type="dxa"/>
            </w:tcMar>
            <w:vAlign w:val="center"/>
          </w:tcPr>
          <w:p w:rsidR="00C053A2" w:rsidRDefault="00CF2B04">
            <w:pPr>
              <w:pBdr>
                <w:top w:val="nil"/>
                <w:left w:val="nil"/>
                <w:bottom w:val="nil"/>
                <w:right w:val="nil"/>
                <w:between w:val="nil"/>
              </w:pBdr>
              <w:spacing w:before="120" w:after="120"/>
              <w:contextualSpacing w:val="0"/>
              <w:rPr>
                <w:b/>
                <w:sz w:val="22"/>
                <w:szCs w:val="22"/>
              </w:rPr>
            </w:pPr>
            <w:r>
              <w:rPr>
                <w:b/>
                <w:sz w:val="22"/>
                <w:szCs w:val="22"/>
              </w:rPr>
              <w:t>A</w:t>
            </w:r>
          </w:p>
        </w:tc>
        <w:tc>
          <w:tcPr>
            <w:tcW w:w="1185" w:type="dxa"/>
            <w:shd w:val="clear" w:color="auto" w:fill="auto"/>
            <w:tcMar>
              <w:top w:w="0" w:type="dxa"/>
              <w:left w:w="75" w:type="dxa"/>
              <w:bottom w:w="0" w:type="dxa"/>
              <w:right w:w="75" w:type="dxa"/>
            </w:tcMar>
            <w:vAlign w:val="center"/>
          </w:tcPr>
          <w:p w:rsidR="00C053A2" w:rsidRDefault="00CF2B04">
            <w:pPr>
              <w:pBdr>
                <w:top w:val="nil"/>
                <w:left w:val="nil"/>
                <w:bottom w:val="nil"/>
                <w:right w:val="nil"/>
                <w:between w:val="nil"/>
              </w:pBdr>
              <w:spacing w:before="120" w:after="120"/>
              <w:contextualSpacing w:val="0"/>
              <w:rPr>
                <w:sz w:val="20"/>
                <w:szCs w:val="20"/>
                <w:vertAlign w:val="superscript"/>
              </w:rPr>
            </w:pPr>
            <w:r>
              <w:rPr>
                <w:sz w:val="22"/>
                <w:szCs w:val="22"/>
              </w:rPr>
              <w:t>N m s</w:t>
            </w:r>
            <w:r>
              <w:rPr>
                <w:sz w:val="20"/>
                <w:szCs w:val="20"/>
                <w:vertAlign w:val="superscript"/>
              </w:rPr>
              <w:t>–1</w:t>
            </w:r>
          </w:p>
        </w:tc>
        <w:tc>
          <w:tcPr>
            <w:tcW w:w="1185" w:type="dxa"/>
            <w:shd w:val="clear" w:color="auto" w:fill="auto"/>
            <w:tcMar>
              <w:top w:w="0" w:type="dxa"/>
              <w:left w:w="75" w:type="dxa"/>
              <w:bottom w:w="0" w:type="dxa"/>
              <w:right w:w="75" w:type="dxa"/>
            </w:tcMar>
            <w:vAlign w:val="center"/>
          </w:tcPr>
          <w:p w:rsidR="00C053A2" w:rsidRDefault="00CF2B04">
            <w:pPr>
              <w:pBdr>
                <w:top w:val="nil"/>
                <w:left w:val="nil"/>
                <w:bottom w:val="nil"/>
                <w:right w:val="nil"/>
                <w:between w:val="nil"/>
              </w:pBdr>
              <w:spacing w:before="120" w:after="120"/>
              <w:contextualSpacing w:val="0"/>
              <w:rPr>
                <w:sz w:val="22"/>
                <w:szCs w:val="22"/>
              </w:rPr>
            </w:pPr>
            <w:r>
              <w:rPr>
                <w:sz w:val="22"/>
                <w:szCs w:val="22"/>
              </w:rPr>
              <w:t> </w:t>
            </w:r>
            <w:r>
              <w:rPr>
                <w:noProof/>
                <w:sz w:val="22"/>
                <w:szCs w:val="22"/>
              </w:rPr>
              <w:drawing>
                <wp:inline distT="0" distB="0" distL="114300" distR="114300">
                  <wp:extent cx="295275" cy="190500"/>
                  <wp:effectExtent l="0" t="0" r="0" b="0"/>
                  <wp:docPr id="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7"/>
                          <a:srcRect/>
                          <a:stretch>
                            <a:fillRect/>
                          </a:stretch>
                        </pic:blipFill>
                        <pic:spPr>
                          <a:xfrm>
                            <a:off x="0" y="0"/>
                            <a:ext cx="295275" cy="190500"/>
                          </a:xfrm>
                          <a:prstGeom prst="rect">
                            <a:avLst/>
                          </a:prstGeom>
                          <a:ln/>
                        </pic:spPr>
                      </pic:pic>
                    </a:graphicData>
                  </a:graphic>
                </wp:inline>
              </w:drawing>
            </w:r>
          </w:p>
        </w:tc>
      </w:tr>
      <w:tr w:rsidR="00C053A2">
        <w:tc>
          <w:tcPr>
            <w:tcW w:w="585" w:type="dxa"/>
            <w:shd w:val="clear" w:color="auto" w:fill="auto"/>
            <w:tcMar>
              <w:top w:w="0" w:type="dxa"/>
              <w:left w:w="75" w:type="dxa"/>
              <w:bottom w:w="0" w:type="dxa"/>
              <w:right w:w="75" w:type="dxa"/>
            </w:tcMar>
            <w:vAlign w:val="center"/>
          </w:tcPr>
          <w:p w:rsidR="00C053A2" w:rsidRDefault="00CF2B04">
            <w:pPr>
              <w:pBdr>
                <w:top w:val="nil"/>
                <w:left w:val="nil"/>
                <w:bottom w:val="nil"/>
                <w:right w:val="nil"/>
                <w:between w:val="nil"/>
              </w:pBdr>
              <w:spacing w:before="120" w:after="120"/>
              <w:contextualSpacing w:val="0"/>
              <w:rPr>
                <w:b/>
                <w:sz w:val="22"/>
                <w:szCs w:val="22"/>
              </w:rPr>
            </w:pPr>
            <w:r>
              <w:rPr>
                <w:b/>
                <w:sz w:val="22"/>
                <w:szCs w:val="22"/>
              </w:rPr>
              <w:t>B</w:t>
            </w:r>
          </w:p>
        </w:tc>
        <w:tc>
          <w:tcPr>
            <w:tcW w:w="1185" w:type="dxa"/>
            <w:shd w:val="clear" w:color="auto" w:fill="auto"/>
            <w:tcMar>
              <w:top w:w="0" w:type="dxa"/>
              <w:left w:w="75" w:type="dxa"/>
              <w:bottom w:w="0" w:type="dxa"/>
              <w:right w:w="75" w:type="dxa"/>
            </w:tcMar>
            <w:vAlign w:val="center"/>
          </w:tcPr>
          <w:p w:rsidR="00C053A2" w:rsidRDefault="00CF2B04">
            <w:pPr>
              <w:pBdr>
                <w:top w:val="nil"/>
                <w:left w:val="nil"/>
                <w:bottom w:val="nil"/>
                <w:right w:val="nil"/>
                <w:between w:val="nil"/>
              </w:pBdr>
              <w:spacing w:before="120" w:after="120"/>
              <w:contextualSpacing w:val="0"/>
              <w:rPr>
                <w:sz w:val="20"/>
                <w:szCs w:val="20"/>
                <w:vertAlign w:val="superscript"/>
              </w:rPr>
            </w:pPr>
            <w:r>
              <w:rPr>
                <w:sz w:val="22"/>
                <w:szCs w:val="22"/>
              </w:rPr>
              <w:t>kg m</w:t>
            </w:r>
            <w:r>
              <w:rPr>
                <w:sz w:val="20"/>
                <w:szCs w:val="20"/>
                <w:vertAlign w:val="superscript"/>
              </w:rPr>
              <w:t>2</w:t>
            </w:r>
            <w:r>
              <w:rPr>
                <w:sz w:val="22"/>
                <w:szCs w:val="22"/>
              </w:rPr>
              <w:t xml:space="preserve"> s</w:t>
            </w:r>
            <w:r>
              <w:rPr>
                <w:sz w:val="20"/>
                <w:szCs w:val="20"/>
                <w:vertAlign w:val="superscript"/>
              </w:rPr>
              <w:t>–3</w:t>
            </w:r>
          </w:p>
        </w:tc>
        <w:tc>
          <w:tcPr>
            <w:tcW w:w="1185" w:type="dxa"/>
            <w:shd w:val="clear" w:color="auto" w:fill="auto"/>
            <w:tcMar>
              <w:top w:w="0" w:type="dxa"/>
              <w:left w:w="75" w:type="dxa"/>
              <w:bottom w:w="0" w:type="dxa"/>
              <w:right w:w="75" w:type="dxa"/>
            </w:tcMar>
            <w:vAlign w:val="center"/>
          </w:tcPr>
          <w:p w:rsidR="00C053A2" w:rsidRDefault="00CF2B04">
            <w:pPr>
              <w:pBdr>
                <w:top w:val="nil"/>
                <w:left w:val="nil"/>
                <w:bottom w:val="nil"/>
                <w:right w:val="nil"/>
                <w:between w:val="nil"/>
              </w:pBdr>
              <w:spacing w:before="120" w:after="120"/>
              <w:contextualSpacing w:val="0"/>
              <w:rPr>
                <w:sz w:val="22"/>
                <w:szCs w:val="22"/>
              </w:rPr>
            </w:pPr>
            <w:r>
              <w:rPr>
                <w:sz w:val="22"/>
                <w:szCs w:val="22"/>
              </w:rPr>
              <w:t> </w:t>
            </w:r>
            <w:r>
              <w:rPr>
                <w:noProof/>
                <w:sz w:val="22"/>
                <w:szCs w:val="22"/>
              </w:rPr>
              <w:drawing>
                <wp:inline distT="0" distB="0" distL="114300" distR="114300">
                  <wp:extent cx="295275" cy="190500"/>
                  <wp:effectExtent l="0" t="0" r="0" b="0"/>
                  <wp:docPr id="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7"/>
                          <a:srcRect/>
                          <a:stretch>
                            <a:fillRect/>
                          </a:stretch>
                        </pic:blipFill>
                        <pic:spPr>
                          <a:xfrm>
                            <a:off x="0" y="0"/>
                            <a:ext cx="295275" cy="190500"/>
                          </a:xfrm>
                          <a:prstGeom prst="rect">
                            <a:avLst/>
                          </a:prstGeom>
                          <a:ln/>
                        </pic:spPr>
                      </pic:pic>
                    </a:graphicData>
                  </a:graphic>
                </wp:inline>
              </w:drawing>
            </w:r>
          </w:p>
        </w:tc>
      </w:tr>
      <w:tr w:rsidR="00C053A2">
        <w:tc>
          <w:tcPr>
            <w:tcW w:w="585" w:type="dxa"/>
            <w:shd w:val="clear" w:color="auto" w:fill="auto"/>
            <w:tcMar>
              <w:top w:w="0" w:type="dxa"/>
              <w:left w:w="75" w:type="dxa"/>
              <w:bottom w:w="0" w:type="dxa"/>
              <w:right w:w="75" w:type="dxa"/>
            </w:tcMar>
            <w:vAlign w:val="center"/>
          </w:tcPr>
          <w:p w:rsidR="00C053A2" w:rsidRDefault="00CF2B04">
            <w:pPr>
              <w:pBdr>
                <w:top w:val="nil"/>
                <w:left w:val="nil"/>
                <w:bottom w:val="nil"/>
                <w:right w:val="nil"/>
                <w:between w:val="nil"/>
              </w:pBdr>
              <w:spacing w:before="120" w:after="120"/>
              <w:contextualSpacing w:val="0"/>
              <w:rPr>
                <w:b/>
                <w:sz w:val="22"/>
                <w:szCs w:val="22"/>
              </w:rPr>
            </w:pPr>
            <w:r>
              <w:rPr>
                <w:b/>
                <w:sz w:val="22"/>
                <w:szCs w:val="22"/>
              </w:rPr>
              <w:t>C</w:t>
            </w:r>
          </w:p>
        </w:tc>
        <w:tc>
          <w:tcPr>
            <w:tcW w:w="1185" w:type="dxa"/>
            <w:shd w:val="clear" w:color="auto" w:fill="auto"/>
            <w:tcMar>
              <w:top w:w="0" w:type="dxa"/>
              <w:left w:w="75" w:type="dxa"/>
              <w:bottom w:w="0" w:type="dxa"/>
              <w:right w:w="75" w:type="dxa"/>
            </w:tcMar>
            <w:vAlign w:val="center"/>
          </w:tcPr>
          <w:p w:rsidR="00C053A2" w:rsidRDefault="00CF2B04">
            <w:pPr>
              <w:pBdr>
                <w:top w:val="nil"/>
                <w:left w:val="nil"/>
                <w:bottom w:val="nil"/>
                <w:right w:val="nil"/>
                <w:between w:val="nil"/>
              </w:pBdr>
              <w:spacing w:before="120" w:after="120"/>
              <w:contextualSpacing w:val="0"/>
              <w:rPr>
                <w:sz w:val="20"/>
                <w:szCs w:val="20"/>
                <w:vertAlign w:val="superscript"/>
              </w:rPr>
            </w:pPr>
            <w:r>
              <w:rPr>
                <w:sz w:val="22"/>
                <w:szCs w:val="22"/>
              </w:rPr>
              <w:t>J s</w:t>
            </w:r>
            <w:r>
              <w:rPr>
                <w:sz w:val="20"/>
                <w:szCs w:val="20"/>
                <w:vertAlign w:val="superscript"/>
              </w:rPr>
              <w:t>–1</w:t>
            </w:r>
          </w:p>
        </w:tc>
        <w:tc>
          <w:tcPr>
            <w:tcW w:w="1185" w:type="dxa"/>
            <w:shd w:val="clear" w:color="auto" w:fill="auto"/>
            <w:tcMar>
              <w:top w:w="0" w:type="dxa"/>
              <w:left w:w="75" w:type="dxa"/>
              <w:bottom w:w="0" w:type="dxa"/>
              <w:right w:w="75" w:type="dxa"/>
            </w:tcMar>
            <w:vAlign w:val="center"/>
          </w:tcPr>
          <w:p w:rsidR="00C053A2" w:rsidRDefault="00CF2B04">
            <w:pPr>
              <w:pBdr>
                <w:top w:val="nil"/>
                <w:left w:val="nil"/>
                <w:bottom w:val="nil"/>
                <w:right w:val="nil"/>
                <w:between w:val="nil"/>
              </w:pBdr>
              <w:spacing w:before="120" w:after="120"/>
              <w:contextualSpacing w:val="0"/>
              <w:rPr>
                <w:sz w:val="22"/>
                <w:szCs w:val="22"/>
              </w:rPr>
            </w:pPr>
            <w:r>
              <w:rPr>
                <w:sz w:val="22"/>
                <w:szCs w:val="22"/>
              </w:rPr>
              <w:t> </w:t>
            </w:r>
            <w:r>
              <w:rPr>
                <w:noProof/>
                <w:sz w:val="22"/>
                <w:szCs w:val="22"/>
              </w:rPr>
              <w:drawing>
                <wp:inline distT="0" distB="0" distL="114300" distR="114300">
                  <wp:extent cx="295275" cy="190500"/>
                  <wp:effectExtent l="0" t="0" r="0" b="0"/>
                  <wp:docPr id="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7"/>
                          <a:srcRect/>
                          <a:stretch>
                            <a:fillRect/>
                          </a:stretch>
                        </pic:blipFill>
                        <pic:spPr>
                          <a:xfrm>
                            <a:off x="0" y="0"/>
                            <a:ext cx="295275" cy="190500"/>
                          </a:xfrm>
                          <a:prstGeom prst="rect">
                            <a:avLst/>
                          </a:prstGeom>
                          <a:ln/>
                        </pic:spPr>
                      </pic:pic>
                    </a:graphicData>
                  </a:graphic>
                </wp:inline>
              </w:drawing>
            </w:r>
          </w:p>
        </w:tc>
      </w:tr>
      <w:tr w:rsidR="00C053A2">
        <w:tc>
          <w:tcPr>
            <w:tcW w:w="585" w:type="dxa"/>
            <w:shd w:val="clear" w:color="auto" w:fill="auto"/>
            <w:tcMar>
              <w:top w:w="0" w:type="dxa"/>
              <w:left w:w="75" w:type="dxa"/>
              <w:bottom w:w="0" w:type="dxa"/>
              <w:right w:w="75" w:type="dxa"/>
            </w:tcMar>
            <w:vAlign w:val="center"/>
          </w:tcPr>
          <w:p w:rsidR="00C053A2" w:rsidRDefault="00CF2B04">
            <w:pPr>
              <w:pBdr>
                <w:top w:val="nil"/>
                <w:left w:val="nil"/>
                <w:bottom w:val="nil"/>
                <w:right w:val="nil"/>
                <w:between w:val="nil"/>
              </w:pBdr>
              <w:spacing w:before="120" w:after="120"/>
              <w:contextualSpacing w:val="0"/>
              <w:rPr>
                <w:b/>
                <w:sz w:val="22"/>
                <w:szCs w:val="22"/>
              </w:rPr>
            </w:pPr>
            <w:r>
              <w:rPr>
                <w:b/>
                <w:sz w:val="22"/>
                <w:szCs w:val="22"/>
              </w:rPr>
              <w:t>D</w:t>
            </w:r>
          </w:p>
        </w:tc>
        <w:tc>
          <w:tcPr>
            <w:tcW w:w="1185" w:type="dxa"/>
            <w:shd w:val="clear" w:color="auto" w:fill="auto"/>
            <w:tcMar>
              <w:top w:w="0" w:type="dxa"/>
              <w:left w:w="75" w:type="dxa"/>
              <w:bottom w:w="0" w:type="dxa"/>
              <w:right w:w="75" w:type="dxa"/>
            </w:tcMar>
            <w:vAlign w:val="center"/>
          </w:tcPr>
          <w:p w:rsidR="00C053A2" w:rsidRDefault="00CF2B04">
            <w:pPr>
              <w:pBdr>
                <w:top w:val="nil"/>
                <w:left w:val="nil"/>
                <w:bottom w:val="nil"/>
                <w:right w:val="nil"/>
                <w:between w:val="nil"/>
              </w:pBdr>
              <w:spacing w:before="120" w:after="120"/>
              <w:contextualSpacing w:val="0"/>
              <w:rPr>
                <w:sz w:val="20"/>
                <w:szCs w:val="20"/>
                <w:vertAlign w:val="superscript"/>
              </w:rPr>
            </w:pPr>
            <w:r>
              <w:rPr>
                <w:sz w:val="22"/>
                <w:szCs w:val="22"/>
              </w:rPr>
              <w:t>kg m</w:t>
            </w:r>
            <w:r>
              <w:rPr>
                <w:sz w:val="20"/>
                <w:szCs w:val="20"/>
                <w:vertAlign w:val="superscript"/>
              </w:rPr>
              <w:t>–1</w:t>
            </w:r>
            <w:r>
              <w:rPr>
                <w:sz w:val="22"/>
                <w:szCs w:val="22"/>
              </w:rPr>
              <w:t xml:space="preserve"> s</w:t>
            </w:r>
            <w:r>
              <w:rPr>
                <w:sz w:val="20"/>
                <w:szCs w:val="20"/>
                <w:vertAlign w:val="superscript"/>
              </w:rPr>
              <w:t>–1</w:t>
            </w:r>
          </w:p>
        </w:tc>
        <w:tc>
          <w:tcPr>
            <w:tcW w:w="1185" w:type="dxa"/>
            <w:shd w:val="clear" w:color="auto" w:fill="auto"/>
            <w:tcMar>
              <w:top w:w="0" w:type="dxa"/>
              <w:left w:w="75" w:type="dxa"/>
              <w:bottom w:w="0" w:type="dxa"/>
              <w:right w:w="75" w:type="dxa"/>
            </w:tcMar>
            <w:vAlign w:val="center"/>
          </w:tcPr>
          <w:p w:rsidR="00C053A2" w:rsidRDefault="00CF2B04">
            <w:pPr>
              <w:pBdr>
                <w:top w:val="nil"/>
                <w:left w:val="nil"/>
                <w:bottom w:val="nil"/>
                <w:right w:val="nil"/>
                <w:between w:val="nil"/>
              </w:pBdr>
              <w:spacing w:before="120" w:after="120"/>
              <w:contextualSpacing w:val="0"/>
              <w:rPr>
                <w:sz w:val="22"/>
                <w:szCs w:val="22"/>
              </w:rPr>
            </w:pPr>
            <w:r>
              <w:rPr>
                <w:sz w:val="22"/>
                <w:szCs w:val="22"/>
              </w:rPr>
              <w:t> </w:t>
            </w:r>
            <w:r>
              <w:rPr>
                <w:noProof/>
                <w:sz w:val="22"/>
                <w:szCs w:val="22"/>
              </w:rPr>
              <w:drawing>
                <wp:inline distT="0" distB="0" distL="114300" distR="114300">
                  <wp:extent cx="295275" cy="190500"/>
                  <wp:effectExtent l="0" t="0" r="0" b="0"/>
                  <wp:docPr id="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7"/>
                          <a:srcRect/>
                          <a:stretch>
                            <a:fillRect/>
                          </a:stretch>
                        </pic:blipFill>
                        <pic:spPr>
                          <a:xfrm>
                            <a:off x="0" y="0"/>
                            <a:ext cx="295275" cy="190500"/>
                          </a:xfrm>
                          <a:prstGeom prst="rect">
                            <a:avLst/>
                          </a:prstGeom>
                          <a:ln/>
                        </pic:spPr>
                      </pic:pic>
                    </a:graphicData>
                  </a:graphic>
                </wp:inline>
              </w:drawing>
            </w:r>
          </w:p>
        </w:tc>
      </w:tr>
    </w:tbl>
    <w:p w:rsidR="00C053A2" w:rsidRDefault="00C053A2">
      <w:pPr>
        <w:pBdr>
          <w:top w:val="nil"/>
          <w:left w:val="nil"/>
          <w:bottom w:val="nil"/>
          <w:right w:val="nil"/>
          <w:between w:val="nil"/>
        </w:pBdr>
        <w:ind w:left="1828"/>
        <w:contextualSpacing w:val="0"/>
        <w:rPr>
          <w:sz w:val="22"/>
          <w:szCs w:val="22"/>
        </w:rPr>
      </w:pPr>
    </w:p>
    <w:p w:rsidR="00C053A2" w:rsidRDefault="00CF2B04">
      <w:pPr>
        <w:pBdr>
          <w:top w:val="nil"/>
          <w:left w:val="nil"/>
          <w:bottom w:val="nil"/>
          <w:right w:val="nil"/>
          <w:between w:val="nil"/>
        </w:pBdr>
        <w:contextualSpacing w:val="0"/>
        <w:jc w:val="right"/>
        <w:rPr>
          <w:b/>
          <w:sz w:val="20"/>
          <w:szCs w:val="20"/>
        </w:rPr>
      </w:pPr>
      <w:r>
        <w:rPr>
          <w:b/>
          <w:sz w:val="20"/>
          <w:szCs w:val="20"/>
        </w:rPr>
        <w:t>(Total 1 mark)</w:t>
      </w:r>
    </w:p>
    <w:p w:rsidR="00C053A2" w:rsidRDefault="00CF2B04">
      <w:pPr>
        <w:pBdr>
          <w:top w:val="nil"/>
          <w:left w:val="nil"/>
          <w:bottom w:val="nil"/>
          <w:right w:val="nil"/>
          <w:between w:val="nil"/>
        </w:pBdr>
        <w:spacing w:before="240"/>
        <w:ind w:left="567" w:right="567" w:hanging="567"/>
        <w:contextualSpacing w:val="0"/>
        <w:rPr>
          <w:sz w:val="22"/>
          <w:szCs w:val="22"/>
        </w:rPr>
      </w:pPr>
      <w:r>
        <w:rPr>
          <w:b/>
          <w:sz w:val="22"/>
          <w:szCs w:val="22"/>
        </w:rPr>
        <w:t>Q5</w:t>
      </w:r>
      <w:r>
        <w:rPr>
          <w:b/>
          <w:sz w:val="22"/>
          <w:szCs w:val="22"/>
        </w:rPr>
        <w:t>.</w:t>
      </w:r>
      <w:r>
        <w:rPr>
          <w:sz w:val="22"/>
          <w:szCs w:val="22"/>
        </w:rPr>
        <w:t>The speed of an air rifle pellet is measured by firing it into a wooden block suspended from a rigid support.</w:t>
      </w:r>
      <w:r>
        <w:rPr>
          <w:sz w:val="22"/>
          <w:szCs w:val="22"/>
        </w:rPr>
        <w:br/>
      </w:r>
      <w:r>
        <w:rPr>
          <w:sz w:val="22"/>
          <w:szCs w:val="22"/>
        </w:rPr>
        <w:t>The wooden block can swing freely at the end of a light inextensible string as shown in the figure below.</w:t>
      </w:r>
    </w:p>
    <w:p w:rsidR="00C053A2" w:rsidRDefault="00CF2B04">
      <w:pPr>
        <w:pBdr>
          <w:top w:val="nil"/>
          <w:left w:val="nil"/>
          <w:bottom w:val="nil"/>
          <w:right w:val="nil"/>
          <w:between w:val="nil"/>
        </w:pBdr>
        <w:spacing w:before="240"/>
        <w:contextualSpacing w:val="0"/>
        <w:jc w:val="center"/>
        <w:rPr>
          <w:sz w:val="22"/>
          <w:szCs w:val="22"/>
        </w:rPr>
      </w:pPr>
      <w:r>
        <w:rPr>
          <w:noProof/>
          <w:sz w:val="22"/>
          <w:szCs w:val="22"/>
        </w:rPr>
        <w:drawing>
          <wp:inline distT="0" distB="0" distL="114300" distR="114300">
            <wp:extent cx="3609975" cy="2286000"/>
            <wp:effectExtent l="0" t="0" r="0" b="0"/>
            <wp:docPr id="1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8"/>
                    <a:srcRect/>
                    <a:stretch>
                      <a:fillRect/>
                    </a:stretch>
                  </pic:blipFill>
                  <pic:spPr>
                    <a:xfrm>
                      <a:off x="0" y="0"/>
                      <a:ext cx="3609975" cy="2286000"/>
                    </a:xfrm>
                    <a:prstGeom prst="rect">
                      <a:avLst/>
                    </a:prstGeom>
                    <a:ln/>
                  </pic:spPr>
                </pic:pic>
              </a:graphicData>
            </a:graphic>
          </wp:inline>
        </w:drawing>
      </w:r>
      <w:r>
        <w:rPr>
          <w:sz w:val="22"/>
          <w:szCs w:val="22"/>
        </w:rPr>
        <w:br/>
        <w:t>initial position of block        </w:t>
      </w:r>
    </w:p>
    <w:p w:rsidR="00C053A2" w:rsidRDefault="00CF2B04">
      <w:pPr>
        <w:pBdr>
          <w:top w:val="nil"/>
          <w:left w:val="nil"/>
          <w:bottom w:val="nil"/>
          <w:right w:val="nil"/>
          <w:between w:val="nil"/>
        </w:pBdr>
        <w:spacing w:before="240"/>
        <w:ind w:left="567" w:right="567"/>
        <w:contextualSpacing w:val="0"/>
        <w:rPr>
          <w:sz w:val="22"/>
          <w:szCs w:val="22"/>
        </w:rPr>
      </w:pPr>
      <w:r>
        <w:rPr>
          <w:sz w:val="22"/>
          <w:szCs w:val="22"/>
        </w:rPr>
        <w:t>A pellet of mass 8.80 g strikes a stationary wooden block and is completely embedded in it. The centre of mass of the block rises by 0.63 m. The wooden block has a mass of 450 g.</w:t>
      </w:r>
    </w:p>
    <w:p w:rsidR="00C053A2" w:rsidRDefault="00CF2B04">
      <w:pPr>
        <w:pBdr>
          <w:top w:val="nil"/>
          <w:left w:val="nil"/>
          <w:bottom w:val="nil"/>
          <w:right w:val="nil"/>
          <w:between w:val="nil"/>
        </w:pBdr>
        <w:spacing w:before="240"/>
        <w:ind w:left="1134" w:right="567" w:hanging="567"/>
        <w:contextualSpacing w:val="0"/>
        <w:rPr>
          <w:sz w:val="22"/>
          <w:szCs w:val="22"/>
        </w:rPr>
      </w:pPr>
      <w:r>
        <w:rPr>
          <w:sz w:val="22"/>
          <w:szCs w:val="22"/>
        </w:rPr>
        <w:t>(a)     Determine the speed of the pellet when it strikes the wooden block. </w:t>
      </w:r>
    </w:p>
    <w:p w:rsidR="00C053A2" w:rsidRDefault="00CF2B04">
      <w:pPr>
        <w:pBdr>
          <w:top w:val="nil"/>
          <w:left w:val="nil"/>
          <w:bottom w:val="nil"/>
          <w:right w:val="nil"/>
          <w:between w:val="nil"/>
        </w:pBdr>
        <w:contextualSpacing w:val="0"/>
        <w:jc w:val="right"/>
        <w:rPr>
          <w:b/>
          <w:sz w:val="20"/>
          <w:szCs w:val="20"/>
        </w:rPr>
      </w:pPr>
      <w:r>
        <w:rPr>
          <w:b/>
          <w:sz w:val="20"/>
          <w:szCs w:val="20"/>
        </w:rPr>
        <w:t>(4)</w:t>
      </w:r>
    </w:p>
    <w:p w:rsidR="00C053A2" w:rsidRDefault="00CF2B04">
      <w:pPr>
        <w:pBdr>
          <w:top w:val="nil"/>
          <w:left w:val="nil"/>
          <w:bottom w:val="nil"/>
          <w:right w:val="nil"/>
          <w:between w:val="nil"/>
        </w:pBdr>
        <w:spacing w:before="240"/>
        <w:ind w:left="1134" w:right="567" w:hanging="567"/>
        <w:contextualSpacing w:val="0"/>
        <w:rPr>
          <w:sz w:val="22"/>
          <w:szCs w:val="22"/>
        </w:rPr>
      </w:pPr>
      <w:r>
        <w:rPr>
          <w:sz w:val="22"/>
          <w:szCs w:val="22"/>
        </w:rPr>
        <w:t>(b)     The wooden block is replaced by a steel block of the same mass.</w:t>
      </w:r>
      <w:r>
        <w:rPr>
          <w:sz w:val="22"/>
          <w:szCs w:val="22"/>
        </w:rPr>
        <w:br/>
        <w:t>The experiment is repeated with the steel block and an identical pellet. The pellet rebounds after striking the block.</w:t>
      </w:r>
    </w:p>
    <w:p w:rsidR="00C053A2" w:rsidRDefault="00CF2B04">
      <w:pPr>
        <w:pBdr>
          <w:top w:val="nil"/>
          <w:left w:val="nil"/>
          <w:bottom w:val="nil"/>
          <w:right w:val="nil"/>
          <w:between w:val="nil"/>
        </w:pBdr>
        <w:spacing w:before="240"/>
        <w:ind w:left="1134" w:right="567"/>
        <w:contextualSpacing w:val="0"/>
        <w:rPr>
          <w:sz w:val="22"/>
          <w:szCs w:val="22"/>
        </w:rPr>
      </w:pPr>
      <w:r>
        <w:rPr>
          <w:sz w:val="22"/>
          <w:szCs w:val="22"/>
        </w:rPr>
        <w:t>Discuss how the height the steel block reaches compares with the height of 0.63 m reached by the wooden block. In your answer compare the energy and momentum changes that occur in the two experiments.</w:t>
      </w:r>
    </w:p>
    <w:p w:rsidR="00C053A2" w:rsidRDefault="00CF2B04">
      <w:pPr>
        <w:pBdr>
          <w:top w:val="nil"/>
          <w:left w:val="nil"/>
          <w:bottom w:val="nil"/>
          <w:right w:val="nil"/>
          <w:between w:val="nil"/>
        </w:pBdr>
        <w:contextualSpacing w:val="0"/>
        <w:jc w:val="right"/>
        <w:rPr>
          <w:b/>
          <w:sz w:val="20"/>
          <w:szCs w:val="20"/>
        </w:rPr>
      </w:pPr>
      <w:r>
        <w:rPr>
          <w:b/>
          <w:sz w:val="20"/>
          <w:szCs w:val="20"/>
        </w:rPr>
        <w:t>(4)</w:t>
      </w:r>
    </w:p>
    <w:p w:rsidR="00C053A2" w:rsidRDefault="00CF2B04">
      <w:pPr>
        <w:pBdr>
          <w:top w:val="nil"/>
          <w:left w:val="nil"/>
          <w:bottom w:val="nil"/>
          <w:right w:val="nil"/>
          <w:between w:val="nil"/>
        </w:pBdr>
        <w:spacing w:before="240"/>
        <w:ind w:left="1134" w:right="567" w:hanging="567"/>
        <w:contextualSpacing w:val="0"/>
        <w:rPr>
          <w:sz w:val="22"/>
          <w:szCs w:val="22"/>
        </w:rPr>
      </w:pPr>
      <w:r>
        <w:rPr>
          <w:sz w:val="22"/>
          <w:szCs w:val="22"/>
        </w:rPr>
        <w:t xml:space="preserve">(c)     Discuss which experiment is likely to give </w:t>
      </w:r>
      <w:r>
        <w:rPr>
          <w:sz w:val="22"/>
          <w:szCs w:val="22"/>
        </w:rPr>
        <w:t>the more accurate value for the velocity of the pellet.</w:t>
      </w:r>
    </w:p>
    <w:p w:rsidR="00C053A2" w:rsidRDefault="00CF2B04">
      <w:pPr>
        <w:pBdr>
          <w:top w:val="nil"/>
          <w:left w:val="nil"/>
          <w:bottom w:val="nil"/>
          <w:right w:val="nil"/>
          <w:between w:val="nil"/>
        </w:pBdr>
        <w:contextualSpacing w:val="0"/>
        <w:jc w:val="right"/>
        <w:rPr>
          <w:b/>
          <w:sz w:val="20"/>
          <w:szCs w:val="20"/>
        </w:rPr>
      </w:pPr>
      <w:r>
        <w:rPr>
          <w:b/>
          <w:sz w:val="20"/>
          <w:szCs w:val="20"/>
        </w:rPr>
        <w:t>(2)</w:t>
      </w:r>
    </w:p>
    <w:p w:rsidR="00C053A2" w:rsidRDefault="00CF2B04" w:rsidP="00CF2B04">
      <w:pPr>
        <w:pBdr>
          <w:top w:val="nil"/>
          <w:left w:val="nil"/>
          <w:bottom w:val="nil"/>
          <w:right w:val="nil"/>
          <w:between w:val="nil"/>
        </w:pBdr>
        <w:contextualSpacing w:val="0"/>
        <w:jc w:val="right"/>
        <w:rPr>
          <w:b/>
          <w:sz w:val="22"/>
          <w:szCs w:val="22"/>
        </w:rPr>
      </w:pPr>
      <w:r>
        <w:rPr>
          <w:b/>
          <w:sz w:val="20"/>
          <w:szCs w:val="20"/>
        </w:rPr>
        <w:t>(Total 10 marks)</w:t>
      </w:r>
    </w:p>
    <w:p w:rsidR="00C053A2" w:rsidRDefault="00C053A2">
      <w:pPr>
        <w:pBdr>
          <w:top w:val="nil"/>
          <w:left w:val="nil"/>
          <w:bottom w:val="nil"/>
          <w:right w:val="nil"/>
          <w:between w:val="nil"/>
        </w:pBdr>
        <w:spacing w:before="240"/>
        <w:ind w:left="567" w:right="567" w:hanging="567"/>
        <w:contextualSpacing w:val="0"/>
        <w:rPr>
          <w:b/>
          <w:sz w:val="22"/>
          <w:szCs w:val="22"/>
        </w:rPr>
      </w:pPr>
    </w:p>
    <w:p w:rsidR="00C053A2" w:rsidRDefault="00C053A2">
      <w:pPr>
        <w:pBdr>
          <w:top w:val="nil"/>
          <w:left w:val="nil"/>
          <w:bottom w:val="nil"/>
          <w:right w:val="nil"/>
          <w:between w:val="nil"/>
        </w:pBdr>
        <w:spacing w:before="240"/>
        <w:ind w:left="567" w:right="567" w:hanging="567"/>
        <w:contextualSpacing w:val="0"/>
        <w:rPr>
          <w:b/>
          <w:sz w:val="22"/>
          <w:szCs w:val="22"/>
        </w:rPr>
      </w:pPr>
    </w:p>
    <w:p w:rsidR="00C053A2" w:rsidRDefault="00CF2B04">
      <w:pPr>
        <w:pBdr>
          <w:top w:val="nil"/>
          <w:left w:val="nil"/>
          <w:bottom w:val="nil"/>
          <w:right w:val="nil"/>
          <w:between w:val="nil"/>
        </w:pBdr>
        <w:spacing w:before="240"/>
        <w:ind w:left="567" w:right="567" w:hanging="567"/>
        <w:contextualSpacing w:val="0"/>
        <w:rPr>
          <w:sz w:val="22"/>
          <w:szCs w:val="22"/>
        </w:rPr>
      </w:pPr>
      <w:r>
        <w:rPr>
          <w:b/>
          <w:sz w:val="22"/>
          <w:szCs w:val="22"/>
        </w:rPr>
        <w:t>Q6</w:t>
      </w:r>
      <w:bookmarkStart w:id="0" w:name="_GoBack"/>
      <w:bookmarkEnd w:id="0"/>
      <w:r>
        <w:rPr>
          <w:b/>
          <w:sz w:val="22"/>
          <w:szCs w:val="22"/>
        </w:rPr>
        <w:t>.</w:t>
      </w:r>
      <w:r>
        <w:rPr>
          <w:sz w:val="22"/>
          <w:szCs w:val="22"/>
        </w:rPr>
        <w:t>          Deep space probes often carry modules which may be ejected from them by an explosion. A space probe of total mass 500 kg is travelling in a straight line through free space at 160 m s</w:t>
      </w:r>
      <w:r>
        <w:rPr>
          <w:sz w:val="14"/>
          <w:szCs w:val="14"/>
          <w:vertAlign w:val="superscript"/>
        </w:rPr>
        <w:t>–1</w:t>
      </w:r>
      <w:r>
        <w:rPr>
          <w:sz w:val="22"/>
          <w:szCs w:val="22"/>
        </w:rPr>
        <w:t xml:space="preserve"> when it ejects a capsule of mass 150 kg explosively, releasi</w:t>
      </w:r>
      <w:r>
        <w:rPr>
          <w:sz w:val="22"/>
          <w:szCs w:val="22"/>
        </w:rPr>
        <w:t>ng energy. Immediately after the explosion the probe, now of mass 350 kg, continues to travel in the original straight line but travels at 240 m s</w:t>
      </w:r>
      <w:r>
        <w:rPr>
          <w:sz w:val="14"/>
          <w:szCs w:val="14"/>
          <w:vertAlign w:val="superscript"/>
        </w:rPr>
        <w:t>–1</w:t>
      </w:r>
      <w:r>
        <w:rPr>
          <w:sz w:val="22"/>
          <w:szCs w:val="22"/>
        </w:rPr>
        <w:t>, as shown in the figure below.</w:t>
      </w:r>
    </w:p>
    <w:p w:rsidR="00C053A2" w:rsidRDefault="00CF2B04">
      <w:pPr>
        <w:pBdr>
          <w:top w:val="nil"/>
          <w:left w:val="nil"/>
          <w:bottom w:val="nil"/>
          <w:right w:val="nil"/>
          <w:between w:val="nil"/>
        </w:pBdr>
        <w:spacing w:before="240"/>
        <w:ind w:left="567" w:right="567" w:hanging="567"/>
        <w:contextualSpacing w:val="0"/>
        <w:jc w:val="center"/>
        <w:rPr>
          <w:sz w:val="22"/>
          <w:szCs w:val="22"/>
        </w:rPr>
      </w:pPr>
      <w:r>
        <w:rPr>
          <w:noProof/>
          <w:sz w:val="22"/>
          <w:szCs w:val="22"/>
        </w:rPr>
        <w:drawing>
          <wp:inline distT="0" distB="0" distL="114300" distR="114300">
            <wp:extent cx="4600575" cy="1504950"/>
            <wp:effectExtent l="0" t="0" r="0" b="0"/>
            <wp:docPr id="1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9"/>
                    <a:srcRect/>
                    <a:stretch>
                      <a:fillRect/>
                    </a:stretch>
                  </pic:blipFill>
                  <pic:spPr>
                    <a:xfrm>
                      <a:off x="0" y="0"/>
                      <a:ext cx="4600575" cy="1504950"/>
                    </a:xfrm>
                    <a:prstGeom prst="rect">
                      <a:avLst/>
                    </a:prstGeom>
                    <a:ln/>
                  </pic:spPr>
                </pic:pic>
              </a:graphicData>
            </a:graphic>
          </wp:inline>
        </w:drawing>
      </w:r>
    </w:p>
    <w:p w:rsidR="00C053A2" w:rsidRDefault="00CF2B04">
      <w:pPr>
        <w:pBdr>
          <w:top w:val="nil"/>
          <w:left w:val="nil"/>
          <w:bottom w:val="nil"/>
          <w:right w:val="nil"/>
          <w:between w:val="nil"/>
        </w:pBdr>
        <w:spacing w:before="240"/>
        <w:ind w:left="1134" w:right="567" w:hanging="567"/>
        <w:contextualSpacing w:val="0"/>
        <w:rPr>
          <w:sz w:val="22"/>
          <w:szCs w:val="22"/>
        </w:rPr>
      </w:pPr>
      <w:r>
        <w:rPr>
          <w:sz w:val="22"/>
          <w:szCs w:val="22"/>
        </w:rPr>
        <w:t>(a)     Discuss how the principles of conservation of momentum and conservation of energy apply in this instance.</w:t>
      </w:r>
    </w:p>
    <w:p w:rsidR="00C053A2" w:rsidRDefault="00CF2B04">
      <w:pPr>
        <w:pBdr>
          <w:top w:val="nil"/>
          <w:left w:val="nil"/>
          <w:bottom w:val="nil"/>
          <w:right w:val="nil"/>
          <w:between w:val="nil"/>
        </w:pBdr>
        <w:spacing w:before="240"/>
        <w:ind w:left="1701" w:right="567" w:hanging="567"/>
        <w:contextualSpacing w:val="0"/>
        <w:rPr>
          <w:sz w:val="22"/>
          <w:szCs w:val="22"/>
        </w:rPr>
      </w:pPr>
      <w:r>
        <w:rPr>
          <w:sz w:val="22"/>
          <w:szCs w:val="22"/>
        </w:rPr>
        <w:t>The quality of your written communication will be assessed in this question.</w:t>
      </w:r>
    </w:p>
    <w:p w:rsidR="00C053A2" w:rsidRDefault="00CF2B04">
      <w:pPr>
        <w:pBdr>
          <w:top w:val="nil"/>
          <w:left w:val="nil"/>
          <w:bottom w:val="nil"/>
          <w:right w:val="nil"/>
          <w:between w:val="nil"/>
        </w:pBdr>
        <w:contextualSpacing w:val="0"/>
        <w:jc w:val="right"/>
        <w:rPr>
          <w:b/>
          <w:sz w:val="20"/>
          <w:szCs w:val="20"/>
        </w:rPr>
      </w:pPr>
      <w:r>
        <w:rPr>
          <w:b/>
          <w:sz w:val="20"/>
          <w:szCs w:val="20"/>
        </w:rPr>
        <w:t>(6)</w:t>
      </w:r>
    </w:p>
    <w:p w:rsidR="00C053A2" w:rsidRDefault="00CF2B04">
      <w:pPr>
        <w:pBdr>
          <w:top w:val="nil"/>
          <w:left w:val="nil"/>
          <w:bottom w:val="nil"/>
          <w:right w:val="nil"/>
          <w:between w:val="nil"/>
        </w:pBdr>
        <w:spacing w:before="240"/>
        <w:ind w:left="1701" w:right="567" w:hanging="1134"/>
        <w:contextualSpacing w:val="0"/>
        <w:rPr>
          <w:sz w:val="22"/>
          <w:szCs w:val="22"/>
        </w:rPr>
      </w:pPr>
      <w:r>
        <w:rPr>
          <w:sz w:val="22"/>
          <w:szCs w:val="22"/>
        </w:rPr>
        <w:t>(b)     (i)      Calculate the magnitude of the velocity of the capsule immediately after the explosion and state its direction of movement.</w:t>
      </w:r>
    </w:p>
    <w:p w:rsidR="00C053A2" w:rsidRDefault="00CF2B04">
      <w:pPr>
        <w:pBdr>
          <w:top w:val="nil"/>
          <w:left w:val="nil"/>
          <w:bottom w:val="nil"/>
          <w:right w:val="nil"/>
          <w:between w:val="nil"/>
        </w:pBdr>
        <w:spacing w:before="240"/>
        <w:ind w:left="1701" w:right="8" w:hanging="1134"/>
        <w:contextualSpacing w:val="0"/>
        <w:jc w:val="right"/>
        <w:rPr>
          <w:b/>
          <w:sz w:val="20"/>
          <w:szCs w:val="20"/>
        </w:rPr>
      </w:pPr>
      <w:r>
        <w:rPr>
          <w:sz w:val="22"/>
          <w:szCs w:val="22"/>
        </w:rPr>
        <w:t> </w:t>
      </w:r>
      <w:r>
        <w:rPr>
          <w:b/>
          <w:sz w:val="20"/>
          <w:szCs w:val="20"/>
        </w:rPr>
        <w:t>(3)</w:t>
      </w:r>
    </w:p>
    <w:p w:rsidR="00C053A2" w:rsidRDefault="00CF2B04">
      <w:pPr>
        <w:pBdr>
          <w:top w:val="nil"/>
          <w:left w:val="nil"/>
          <w:bottom w:val="nil"/>
          <w:right w:val="nil"/>
          <w:between w:val="nil"/>
        </w:pBdr>
        <w:spacing w:before="240"/>
        <w:ind w:left="1701" w:right="8" w:hanging="567"/>
        <w:contextualSpacing w:val="0"/>
        <w:rPr>
          <w:sz w:val="22"/>
          <w:szCs w:val="22"/>
        </w:rPr>
      </w:pPr>
      <w:r>
        <w:rPr>
          <w:sz w:val="22"/>
          <w:szCs w:val="22"/>
        </w:rPr>
        <w:t>(ii)     Determine the total amount of energy given to the probe and capsule by the explosion. </w:t>
      </w:r>
    </w:p>
    <w:p w:rsidR="00C053A2" w:rsidRDefault="00CF2B04">
      <w:pPr>
        <w:pBdr>
          <w:top w:val="nil"/>
          <w:left w:val="nil"/>
          <w:bottom w:val="nil"/>
          <w:right w:val="nil"/>
          <w:between w:val="nil"/>
        </w:pBdr>
        <w:spacing w:before="240"/>
        <w:ind w:left="567" w:right="8" w:hanging="567"/>
        <w:contextualSpacing w:val="0"/>
        <w:jc w:val="right"/>
        <w:rPr>
          <w:b/>
          <w:sz w:val="20"/>
          <w:szCs w:val="20"/>
        </w:rPr>
      </w:pPr>
      <w:r>
        <w:rPr>
          <w:sz w:val="22"/>
          <w:szCs w:val="22"/>
        </w:rPr>
        <w:t> </w:t>
      </w:r>
      <w:r>
        <w:rPr>
          <w:b/>
          <w:sz w:val="20"/>
          <w:szCs w:val="20"/>
        </w:rPr>
        <w:t>(4)</w:t>
      </w:r>
    </w:p>
    <w:p w:rsidR="00C053A2" w:rsidRDefault="00CF2B04">
      <w:pPr>
        <w:pBdr>
          <w:top w:val="nil"/>
          <w:left w:val="nil"/>
          <w:bottom w:val="nil"/>
          <w:right w:val="nil"/>
          <w:between w:val="nil"/>
        </w:pBdr>
        <w:contextualSpacing w:val="0"/>
        <w:jc w:val="right"/>
        <w:rPr>
          <w:b/>
          <w:sz w:val="20"/>
          <w:szCs w:val="20"/>
        </w:rPr>
      </w:pPr>
      <w:r>
        <w:rPr>
          <w:b/>
          <w:sz w:val="20"/>
          <w:szCs w:val="20"/>
        </w:rPr>
        <w:t>(Total 13 marks)</w:t>
      </w:r>
    </w:p>
    <w:p w:rsidR="00C053A2" w:rsidRDefault="00CF2B04">
      <w:pPr>
        <w:pBdr>
          <w:top w:val="nil"/>
          <w:left w:val="nil"/>
          <w:bottom w:val="nil"/>
          <w:right w:val="nil"/>
          <w:between w:val="nil"/>
        </w:pBdr>
        <w:spacing w:before="240"/>
        <w:ind w:left="567" w:right="567" w:hanging="567"/>
        <w:contextualSpacing w:val="0"/>
        <w:rPr>
          <w:sz w:val="22"/>
          <w:szCs w:val="22"/>
        </w:rPr>
      </w:pPr>
      <w:r>
        <w:rPr>
          <w:sz w:val="22"/>
          <w:szCs w:val="22"/>
        </w:rPr>
        <w:t> </w:t>
      </w:r>
    </w:p>
    <w:p w:rsidR="00C053A2" w:rsidRDefault="00CF2B04">
      <w:pPr>
        <w:pBdr>
          <w:top w:val="nil"/>
          <w:left w:val="nil"/>
          <w:bottom w:val="nil"/>
          <w:right w:val="nil"/>
          <w:between w:val="nil"/>
        </w:pBdr>
        <w:spacing w:before="240"/>
        <w:ind w:left="567" w:right="567" w:hanging="567"/>
        <w:contextualSpacing w:val="0"/>
        <w:rPr>
          <w:sz w:val="22"/>
          <w:szCs w:val="22"/>
        </w:rPr>
      </w:pPr>
      <w:r>
        <w:rPr>
          <w:sz w:val="22"/>
          <w:szCs w:val="22"/>
        </w:rPr>
        <w:br/>
      </w:r>
    </w:p>
    <w:p w:rsidR="00C053A2" w:rsidRDefault="00CF2B04">
      <w:pPr>
        <w:pBdr>
          <w:top w:val="nil"/>
          <w:left w:val="nil"/>
          <w:bottom w:val="nil"/>
          <w:right w:val="nil"/>
          <w:between w:val="nil"/>
        </w:pBdr>
        <w:contextualSpacing w:val="0"/>
        <w:rPr>
          <w:sz w:val="22"/>
          <w:szCs w:val="22"/>
        </w:rPr>
      </w:pPr>
      <w:r>
        <w:rPr>
          <w:sz w:val="22"/>
          <w:szCs w:val="22"/>
        </w:rPr>
        <w:t> </w:t>
      </w:r>
    </w:p>
    <w:p w:rsidR="00C053A2" w:rsidRDefault="00CF2B04">
      <w:pPr>
        <w:pBdr>
          <w:top w:val="nil"/>
          <w:left w:val="nil"/>
          <w:bottom w:val="nil"/>
          <w:right w:val="nil"/>
          <w:between w:val="nil"/>
        </w:pBdr>
        <w:contextualSpacing w:val="0"/>
        <w:rPr>
          <w:sz w:val="22"/>
          <w:szCs w:val="22"/>
        </w:rPr>
      </w:pPr>
      <w:r>
        <w:rPr>
          <w:sz w:val="22"/>
          <w:szCs w:val="22"/>
        </w:rPr>
        <w:br/>
      </w:r>
    </w:p>
    <w:p w:rsidR="00C053A2" w:rsidRDefault="00CF2B04">
      <w:pPr>
        <w:pBdr>
          <w:top w:val="nil"/>
          <w:left w:val="nil"/>
          <w:bottom w:val="nil"/>
          <w:right w:val="nil"/>
          <w:between w:val="nil"/>
        </w:pBdr>
        <w:contextualSpacing w:val="0"/>
        <w:rPr>
          <w:sz w:val="16"/>
          <w:szCs w:val="16"/>
        </w:rPr>
      </w:pPr>
      <w:r>
        <w:rPr>
          <w:sz w:val="16"/>
          <w:szCs w:val="16"/>
        </w:rPr>
        <w:t> </w:t>
      </w:r>
    </w:p>
    <w:p w:rsidR="00C053A2" w:rsidRDefault="00CF2B04">
      <w:pPr>
        <w:pBdr>
          <w:top w:val="nil"/>
          <w:left w:val="nil"/>
          <w:bottom w:val="nil"/>
          <w:right w:val="nil"/>
          <w:between w:val="nil"/>
        </w:pBdr>
        <w:contextualSpacing w:val="0"/>
        <w:rPr>
          <w:sz w:val="16"/>
          <w:szCs w:val="16"/>
        </w:rPr>
      </w:pPr>
      <w:r>
        <w:rPr>
          <w:sz w:val="16"/>
          <w:szCs w:val="16"/>
        </w:rPr>
        <w:br/>
      </w:r>
    </w:p>
    <w:p w:rsidR="00C053A2" w:rsidRDefault="00C053A2">
      <w:pPr>
        <w:pBdr>
          <w:top w:val="nil"/>
          <w:left w:val="nil"/>
          <w:bottom w:val="nil"/>
          <w:right w:val="nil"/>
          <w:between w:val="nil"/>
        </w:pBdr>
        <w:bidi/>
        <w:spacing w:before="240"/>
        <w:ind w:left="567" w:right="567" w:hanging="567"/>
        <w:contextualSpacing w:val="0"/>
        <w:jc w:val="right"/>
        <w:rPr>
          <w:sz w:val="22"/>
          <w:szCs w:val="22"/>
        </w:rPr>
      </w:pPr>
    </w:p>
    <w:sectPr w:rsidR="00C053A2">
      <w:headerReference w:type="default" r:id="rId10"/>
      <w:footerReference w:type="default" r:id="rId11"/>
      <w:pgSz w:w="11906" w:h="16838"/>
      <w:pgMar w:top="288" w:right="561" w:bottom="288" w:left="1411"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F2B04">
      <w:r>
        <w:separator/>
      </w:r>
    </w:p>
  </w:endnote>
  <w:endnote w:type="continuationSeparator" w:id="0">
    <w:p w:rsidR="00000000" w:rsidRDefault="00CF2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53A2" w:rsidRDefault="00CF2B04">
    <w:pPr>
      <w:pBdr>
        <w:top w:val="nil"/>
        <w:left w:val="nil"/>
        <w:bottom w:val="nil"/>
        <w:right w:val="nil"/>
        <w:between w:val="nil"/>
      </w:pBdr>
      <w:contextualSpacing w:val="0"/>
    </w:pPr>
    <w:r>
      <w:t xml:space="preserve">Page </w:t>
    </w: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F2B04">
      <w:r>
        <w:separator/>
      </w:r>
    </w:p>
  </w:footnote>
  <w:footnote w:type="continuationSeparator" w:id="0">
    <w:p w:rsidR="00000000" w:rsidRDefault="00CF2B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53A2" w:rsidRDefault="00CF2B04">
    <w:pPr>
      <w:pBdr>
        <w:top w:val="nil"/>
        <w:left w:val="nil"/>
        <w:bottom w:val="nil"/>
        <w:right w:val="nil"/>
        <w:between w:val="nil"/>
      </w:pBdr>
      <w:spacing w:before="100" w:after="100"/>
      <w:contextualSpacing w:val="0"/>
      <w:jc w:val="right"/>
      <w:rPr>
        <w:color w:val="A6A6A6"/>
        <w:sz w:val="20"/>
        <w:szCs w:val="20"/>
      </w:rPr>
    </w:pPr>
    <w:r>
      <w:rPr>
        <w:color w:val="A6A6A6"/>
        <w:sz w:val="20"/>
        <w:szCs w:val="20"/>
      </w:rPr>
      <w:t>Littleover Community School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C053A2"/>
    <w:rsid w:val="00C053A2"/>
    <w:rsid w:val="00CF2B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EE9011-1F17-43AF-B32E-25DCA024F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4"/>
        <w:szCs w:val="24"/>
        <w:lang w:val="en-GB" w:eastAsia="en-GB" w:bidi="ar-SA"/>
      </w:rPr>
    </w:rPrDefault>
    <w:pPrDefault>
      <w:pPr>
        <w:contextualSpacing/>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pBdr>
        <w:top w:val="nil"/>
        <w:left w:val="nil"/>
        <w:bottom w:val="nil"/>
        <w:right w:val="nil"/>
        <w:between w:val="nil"/>
      </w:pBdr>
      <w:spacing w:before="240" w:after="60"/>
      <w:outlineLvl w:val="0"/>
    </w:pPr>
    <w:rPr>
      <w:b/>
      <w:sz w:val="32"/>
      <w:szCs w:val="32"/>
    </w:rPr>
  </w:style>
  <w:style w:type="paragraph" w:styleId="Heading2">
    <w:name w:val="heading 2"/>
    <w:basedOn w:val="Normal"/>
    <w:next w:val="Normal"/>
    <w:pPr>
      <w:keepNext/>
      <w:pBdr>
        <w:top w:val="nil"/>
        <w:left w:val="nil"/>
        <w:bottom w:val="nil"/>
        <w:right w:val="nil"/>
        <w:between w:val="nil"/>
      </w:pBdr>
      <w:spacing w:before="240" w:after="60"/>
      <w:outlineLvl w:val="1"/>
    </w:pPr>
    <w:rPr>
      <w:b/>
      <w:i/>
      <w:sz w:val="28"/>
      <w:szCs w:val="28"/>
    </w:rPr>
  </w:style>
  <w:style w:type="paragraph" w:styleId="Heading3">
    <w:name w:val="heading 3"/>
    <w:basedOn w:val="Normal"/>
    <w:next w:val="Normal"/>
    <w:pPr>
      <w:keepNext/>
      <w:pBdr>
        <w:top w:val="nil"/>
        <w:left w:val="nil"/>
        <w:bottom w:val="nil"/>
        <w:right w:val="nil"/>
        <w:between w:val="nil"/>
      </w:pBdr>
      <w:spacing w:before="240" w:after="60"/>
      <w:outlineLvl w:val="2"/>
    </w:pPr>
    <w:rPr>
      <w:b/>
      <w:sz w:val="26"/>
      <w:szCs w:val="26"/>
    </w:rPr>
  </w:style>
  <w:style w:type="paragraph" w:styleId="Heading4">
    <w:name w:val="heading 4"/>
    <w:basedOn w:val="Normal"/>
    <w:next w:val="Normal"/>
    <w:pPr>
      <w:keepNext/>
      <w:pBdr>
        <w:top w:val="nil"/>
        <w:left w:val="nil"/>
        <w:bottom w:val="nil"/>
        <w:right w:val="nil"/>
        <w:between w:val="nil"/>
      </w:pBdr>
      <w:spacing w:before="240" w:after="60"/>
      <w:outlineLvl w:val="3"/>
    </w:pPr>
    <w:rPr>
      <w:b/>
      <w:sz w:val="28"/>
      <w:szCs w:val="28"/>
    </w:rPr>
  </w:style>
  <w:style w:type="paragraph" w:styleId="Heading5">
    <w:name w:val="heading 5"/>
    <w:basedOn w:val="Normal"/>
    <w:next w:val="Normal"/>
    <w:pPr>
      <w:pBdr>
        <w:top w:val="nil"/>
        <w:left w:val="nil"/>
        <w:bottom w:val="nil"/>
        <w:right w:val="nil"/>
        <w:between w:val="nil"/>
      </w:pBdr>
      <w:spacing w:before="240" w:after="60"/>
      <w:outlineLvl w:val="4"/>
    </w:pPr>
    <w:rPr>
      <w:b/>
      <w:i/>
      <w:sz w:val="26"/>
      <w:szCs w:val="26"/>
    </w:rPr>
  </w:style>
  <w:style w:type="paragraph" w:styleId="Heading6">
    <w:name w:val="heading 6"/>
    <w:basedOn w:val="Normal"/>
    <w:next w:val="Normal"/>
    <w:pPr>
      <w:pBdr>
        <w:top w:val="nil"/>
        <w:left w:val="nil"/>
        <w:bottom w:val="nil"/>
        <w:right w:val="nil"/>
        <w:between w:val="nil"/>
      </w:pBd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top w:val="nil"/>
        <w:left w:val="nil"/>
        <w:bottom w:val="nil"/>
        <w:right w:val="nil"/>
        <w:between w:val="nil"/>
      </w:pBdr>
      <w:spacing w:before="240" w:after="60"/>
      <w:jc w:val="center"/>
    </w:pPr>
    <w:rPr>
      <w:b/>
      <w:sz w:val="32"/>
      <w:szCs w:val="32"/>
    </w:rPr>
  </w:style>
  <w:style w:type="paragraph" w:styleId="Subtitle">
    <w:name w:val="Subtitle"/>
    <w:basedOn w:val="Normal"/>
    <w:next w:val="Normal"/>
    <w:pPr>
      <w:pBdr>
        <w:top w:val="nil"/>
        <w:left w:val="nil"/>
        <w:bottom w:val="nil"/>
        <w:right w:val="nil"/>
        <w:between w:val="nil"/>
      </w:pBdr>
      <w:spacing w:after="60"/>
      <w:jc w:val="center"/>
    </w:p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520</Words>
  <Characters>2969</Characters>
  <Application>Microsoft Office Word</Application>
  <DocSecurity>0</DocSecurity>
  <Lines>24</Lines>
  <Paragraphs>6</Paragraphs>
  <ScaleCrop>false</ScaleCrop>
  <Company>Littleover Community School</Company>
  <LinksUpToDate>false</LinksUpToDate>
  <CharactersWithSpaces>3483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 Toogood</cp:lastModifiedBy>
  <cp:revision>2</cp:revision>
  <dcterms:created xsi:type="dcterms:W3CDTF">2018-12-06T07:55:00Z</dcterms:created>
  <dcterms:modified xsi:type="dcterms:W3CDTF">2018-12-06T07:56:00Z</dcterms:modified>
</cp:coreProperties>
</file>