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088" w:rsidRPr="00DA1088" w:rsidRDefault="00DA1088" w:rsidP="00DA1088">
      <w:pPr>
        <w:jc w:val="center"/>
        <w:rPr>
          <w:b/>
          <w:sz w:val="32"/>
          <w:szCs w:val="32"/>
          <w:u w:val="single"/>
        </w:rPr>
      </w:pPr>
      <w:r w:rsidRPr="00DA1088">
        <w:rPr>
          <w:b/>
          <w:sz w:val="32"/>
          <w:szCs w:val="32"/>
          <w:u w:val="single"/>
        </w:rPr>
        <w:t>Equilibrium of three forces</w:t>
      </w:r>
    </w:p>
    <w:p w:rsidR="00EC7A1F" w:rsidRDefault="00DA1088">
      <w:r>
        <w:rPr>
          <w:noProof/>
          <w:lang w:eastAsia="en-GB"/>
        </w:rPr>
        <w:drawing>
          <wp:inline distT="0" distB="0" distL="0" distR="0">
            <wp:extent cx="5734050" cy="27622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088" w:rsidRPr="00D23507" w:rsidRDefault="00D23507">
      <w:pPr>
        <w:rPr>
          <w:b/>
          <w:sz w:val="28"/>
          <w:szCs w:val="28"/>
        </w:rPr>
      </w:pPr>
      <w:r w:rsidRPr="00D23507">
        <w:rPr>
          <w:b/>
          <w:sz w:val="28"/>
          <w:szCs w:val="28"/>
        </w:rPr>
        <w:t>Safety</w:t>
      </w:r>
    </w:p>
    <w:p w:rsidR="00D23507" w:rsidRDefault="00D23507">
      <w:r>
        <w:t>Consider the safety aspect of the set-up for your experiment. Make sure that you do not let any weights fall onto your feet.</w:t>
      </w:r>
    </w:p>
    <w:p w:rsidR="00D23507" w:rsidRDefault="00D23507"/>
    <w:p w:rsidR="00DA1088" w:rsidRDefault="00DA1088" w:rsidP="00DA1088">
      <w:pPr>
        <w:pStyle w:val="ListParagraph"/>
        <w:numPr>
          <w:ilvl w:val="0"/>
          <w:numId w:val="2"/>
        </w:numPr>
      </w:pPr>
      <w:r>
        <w:t>Assemble the equipment as in the diagram.</w:t>
      </w:r>
    </w:p>
    <w:p w:rsidR="00D23507" w:rsidRDefault="00D23507" w:rsidP="00D23507">
      <w:pPr>
        <w:pStyle w:val="ListParagraph"/>
      </w:pPr>
    </w:p>
    <w:p w:rsidR="00DA1088" w:rsidRDefault="00DA1088" w:rsidP="00DA1088">
      <w:pPr>
        <w:pStyle w:val="ListParagraph"/>
        <w:numPr>
          <w:ilvl w:val="0"/>
          <w:numId w:val="2"/>
        </w:numPr>
      </w:pPr>
      <w:r>
        <w:t>Adjust the retort stand and the heights of the clamps until the system is balanced with the left hand force</w:t>
      </w:r>
      <w:r w:rsidR="006264CA">
        <w:t xml:space="preserve"> </w:t>
      </w:r>
      <w:r>
        <w:t>meter lying horizontally. (</w:t>
      </w:r>
      <w:r w:rsidR="004D655A">
        <w:t>Decide on a suitable method for ensuring the newton meter is horizontal</w:t>
      </w:r>
      <w:r>
        <w:t>)</w:t>
      </w:r>
    </w:p>
    <w:p w:rsidR="00D23507" w:rsidRDefault="00D23507" w:rsidP="00D23507">
      <w:pPr>
        <w:pStyle w:val="ListParagraph"/>
      </w:pPr>
    </w:p>
    <w:p w:rsidR="00DA1088" w:rsidRPr="00DA1088" w:rsidRDefault="00DA1088" w:rsidP="00DA1088">
      <w:pPr>
        <w:pStyle w:val="ListParagraph"/>
        <w:numPr>
          <w:ilvl w:val="0"/>
          <w:numId w:val="2"/>
        </w:numPr>
      </w:pPr>
      <w:r>
        <w:t xml:space="preserve">Measure </w:t>
      </w:r>
      <w:r>
        <w:rPr>
          <w:rFonts w:ascii="Times New Roman" w:hAnsi="Times New Roman" w:cs="Times New Roman"/>
        </w:rPr>
        <w:t>θ</w:t>
      </w:r>
      <w:r>
        <w:t xml:space="preserve"> as accurately as possible using an angle measurer. Record </w:t>
      </w:r>
      <w:r>
        <w:rPr>
          <w:rFonts w:ascii="Times New Roman" w:hAnsi="Times New Roman" w:cs="Times New Roman"/>
        </w:rPr>
        <w:t>θ</w:t>
      </w:r>
      <w:r>
        <w:t xml:space="preserve"> and the values </w:t>
      </w:r>
      <w:r w:rsidRPr="00B448A0">
        <w:rPr>
          <w:i/>
        </w:rPr>
        <w:t>T</w:t>
      </w:r>
      <w:r w:rsidRPr="00B448A0">
        <w:rPr>
          <w:i/>
          <w:vertAlign w:val="subscript"/>
        </w:rPr>
        <w:t>2</w:t>
      </w:r>
      <w:r>
        <w:t xml:space="preserve">, </w:t>
      </w:r>
      <w:r w:rsidRPr="00B448A0">
        <w:rPr>
          <w:i/>
        </w:rPr>
        <w:t>T</w:t>
      </w:r>
      <w:r w:rsidRPr="00B448A0">
        <w:rPr>
          <w:i/>
          <w:vertAlign w:val="subscript"/>
        </w:rPr>
        <w:t>1</w:t>
      </w:r>
      <w:r>
        <w:t xml:space="preserve"> and </w:t>
      </w:r>
      <w:r w:rsidRPr="00B448A0">
        <w:rPr>
          <w:i/>
        </w:rPr>
        <w:t>W</w:t>
      </w:r>
      <w:r>
        <w:t xml:space="preserve"> (remember that </w:t>
      </w:r>
      <m:oMath>
        <m:r>
          <w:rPr>
            <w:rFonts w:ascii="Cambria Math" w:hAnsi="Cambria Math"/>
          </w:rPr>
          <m:t>W=mg</m:t>
        </m:r>
      </m:oMath>
      <w:r>
        <w:rPr>
          <w:rFonts w:eastAsiaTheme="minorEastAsia"/>
        </w:rPr>
        <w:t xml:space="preserve"> and </w:t>
      </w:r>
      <w:r w:rsidRPr="00DA1088">
        <w:rPr>
          <w:rFonts w:eastAsiaTheme="minorEastAsia"/>
          <w:i/>
        </w:rPr>
        <w:t>g</w:t>
      </w:r>
      <w:r>
        <w:rPr>
          <w:rFonts w:eastAsiaTheme="minorEastAsia"/>
        </w:rPr>
        <w:t xml:space="preserve"> is 9.81 N/kg.)</w:t>
      </w:r>
    </w:p>
    <w:p w:rsidR="00D23507" w:rsidRDefault="00D23507" w:rsidP="00D23507">
      <w:pPr>
        <w:pStyle w:val="ListParagraph"/>
      </w:pPr>
    </w:p>
    <w:p w:rsidR="00DA1088" w:rsidRDefault="00DA1088" w:rsidP="00DA1088">
      <w:pPr>
        <w:pStyle w:val="ListParagraph"/>
        <w:numPr>
          <w:ilvl w:val="0"/>
          <w:numId w:val="2"/>
        </w:numPr>
      </w:pPr>
      <w:r>
        <w:t xml:space="preserve">Repeat the experiment for different values of </w:t>
      </w:r>
      <w:r w:rsidR="00ED2D75" w:rsidRPr="00ED2D75">
        <w:rPr>
          <w:i/>
        </w:rPr>
        <w:t>W</w:t>
      </w:r>
      <w:bookmarkStart w:id="0" w:name="_GoBack"/>
      <w:bookmarkEnd w:id="0"/>
      <w:r>
        <w:t>.</w:t>
      </w:r>
    </w:p>
    <w:p w:rsidR="00B448A0" w:rsidRPr="004B2B91" w:rsidRDefault="00B448A0" w:rsidP="00B448A0">
      <w:pPr>
        <w:rPr>
          <w:b/>
          <w:sz w:val="28"/>
          <w:szCs w:val="28"/>
          <w:u w:val="single"/>
        </w:rPr>
      </w:pPr>
      <w:r w:rsidRPr="004B2B91">
        <w:rPr>
          <w:b/>
          <w:sz w:val="28"/>
          <w:szCs w:val="28"/>
          <w:u w:val="single"/>
        </w:rPr>
        <w:t>Result Analysis</w:t>
      </w:r>
    </w:p>
    <w:tbl>
      <w:tblPr>
        <w:tblStyle w:val="TableGrid"/>
        <w:tblW w:w="9862" w:type="dxa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2891"/>
        <w:gridCol w:w="2891"/>
      </w:tblGrid>
      <w:tr w:rsidR="004B2B91" w:rsidTr="004B2B91">
        <w:tc>
          <w:tcPr>
            <w:tcW w:w="1020" w:type="dxa"/>
          </w:tcPr>
          <w:p w:rsidR="00B448A0" w:rsidRPr="006264CA" w:rsidRDefault="00B448A0" w:rsidP="00B448A0">
            <w:pPr>
              <w:rPr>
                <w:b/>
              </w:rPr>
            </w:pPr>
            <w:r w:rsidRPr="006264CA">
              <w:rPr>
                <w:b/>
                <w:i/>
              </w:rPr>
              <w:t>T</w:t>
            </w:r>
            <w:r w:rsidRPr="006264CA">
              <w:rPr>
                <w:b/>
                <w:i/>
                <w:vertAlign w:val="subscript"/>
              </w:rPr>
              <w:t>1</w:t>
            </w:r>
            <w:r w:rsidRPr="006264CA">
              <w:rPr>
                <w:b/>
              </w:rPr>
              <w:t xml:space="preserve"> /N</w:t>
            </w:r>
          </w:p>
        </w:tc>
        <w:tc>
          <w:tcPr>
            <w:tcW w:w="1020" w:type="dxa"/>
          </w:tcPr>
          <w:p w:rsidR="00B448A0" w:rsidRPr="006264CA" w:rsidRDefault="00B448A0" w:rsidP="00B448A0">
            <w:pPr>
              <w:rPr>
                <w:b/>
              </w:rPr>
            </w:pPr>
            <w:r w:rsidRPr="006264CA">
              <w:rPr>
                <w:b/>
                <w:i/>
              </w:rPr>
              <w:t>T</w:t>
            </w:r>
            <w:r w:rsidRPr="006264CA">
              <w:rPr>
                <w:b/>
                <w:i/>
                <w:vertAlign w:val="subscript"/>
              </w:rPr>
              <w:t>2</w:t>
            </w:r>
            <w:r w:rsidRPr="006264CA">
              <w:rPr>
                <w:b/>
              </w:rPr>
              <w:t xml:space="preserve"> /N</w:t>
            </w:r>
          </w:p>
        </w:tc>
        <w:tc>
          <w:tcPr>
            <w:tcW w:w="1020" w:type="dxa"/>
          </w:tcPr>
          <w:p w:rsidR="00B448A0" w:rsidRPr="006264CA" w:rsidRDefault="00B448A0" w:rsidP="00B448A0">
            <w:pPr>
              <w:rPr>
                <w:b/>
              </w:rPr>
            </w:pPr>
            <w:r w:rsidRPr="006264CA">
              <w:rPr>
                <w:b/>
                <w:i/>
              </w:rPr>
              <w:t xml:space="preserve">W </w:t>
            </w:r>
            <w:r w:rsidRPr="006264CA">
              <w:rPr>
                <w:b/>
              </w:rPr>
              <w:t>/N</w:t>
            </w:r>
          </w:p>
        </w:tc>
        <w:tc>
          <w:tcPr>
            <w:tcW w:w="1020" w:type="dxa"/>
          </w:tcPr>
          <w:p w:rsidR="00B448A0" w:rsidRPr="006264CA" w:rsidRDefault="00B448A0" w:rsidP="00B448A0">
            <w:pPr>
              <w:rPr>
                <w:b/>
              </w:rPr>
            </w:pPr>
            <w:r w:rsidRPr="006264CA">
              <w:rPr>
                <w:rFonts w:ascii="Times New Roman" w:hAnsi="Times New Roman" w:cs="Times New Roman"/>
                <w:b/>
              </w:rPr>
              <w:t>θ</w:t>
            </w:r>
            <w:r w:rsidRPr="006264CA">
              <w:rPr>
                <w:b/>
              </w:rPr>
              <w:t xml:space="preserve"> /</w:t>
            </w:r>
            <w:r w:rsidRPr="006264CA">
              <w:rPr>
                <w:rFonts w:ascii="Times New Roman" w:hAnsi="Times New Roman" w:cs="Times New Roman"/>
                <w:b/>
              </w:rPr>
              <w:t>°</w:t>
            </w:r>
          </w:p>
        </w:tc>
        <w:tc>
          <w:tcPr>
            <w:tcW w:w="2891" w:type="dxa"/>
          </w:tcPr>
          <w:p w:rsidR="00B448A0" w:rsidRPr="006264CA" w:rsidRDefault="00B448A0" w:rsidP="004B2B91">
            <w:pPr>
              <w:rPr>
                <w:b/>
              </w:rPr>
            </w:pPr>
            <w:r w:rsidRPr="006264CA">
              <w:rPr>
                <w:b/>
              </w:rPr>
              <w:t xml:space="preserve">Horizontal Component of </w:t>
            </w:r>
            <w:r w:rsidRPr="006264CA">
              <w:rPr>
                <w:b/>
                <w:i/>
              </w:rPr>
              <w:t>T</w:t>
            </w:r>
            <w:r w:rsidRPr="006264CA">
              <w:rPr>
                <w:b/>
                <w:i/>
                <w:vertAlign w:val="subscript"/>
              </w:rPr>
              <w:t>1</w:t>
            </w:r>
            <w:r w:rsidRPr="006264CA">
              <w:rPr>
                <w:b/>
              </w:rPr>
              <w:t xml:space="preserve"> </w:t>
            </w:r>
            <w:r w:rsidR="004B2B91" w:rsidRPr="006264CA">
              <w:rPr>
                <w:b/>
              </w:rPr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b/>
                      <w:i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θ</m:t>
                  </m:r>
                </m:e>
              </m:func>
            </m:oMath>
            <w:r w:rsidR="004B2B91" w:rsidRPr="006264CA">
              <w:rPr>
                <w:rFonts w:eastAsiaTheme="minorEastAsia"/>
                <w:b/>
              </w:rPr>
              <w:t>)</w:t>
            </w:r>
          </w:p>
        </w:tc>
        <w:tc>
          <w:tcPr>
            <w:tcW w:w="2891" w:type="dxa"/>
          </w:tcPr>
          <w:p w:rsidR="00B448A0" w:rsidRPr="006264CA" w:rsidRDefault="004B2B91" w:rsidP="007B3241">
            <w:pPr>
              <w:rPr>
                <w:b/>
              </w:rPr>
            </w:pPr>
            <w:r w:rsidRPr="006264CA">
              <w:rPr>
                <w:b/>
              </w:rPr>
              <w:t xml:space="preserve">Vertical Component of </w:t>
            </w:r>
            <w:r w:rsidRPr="006264CA">
              <w:rPr>
                <w:b/>
                <w:i/>
              </w:rPr>
              <w:t>T</w:t>
            </w:r>
            <w:r w:rsidR="007B3241" w:rsidRPr="006264CA">
              <w:rPr>
                <w:b/>
                <w:i/>
                <w:vertAlign w:val="subscript"/>
              </w:rPr>
              <w:t xml:space="preserve">1 </w:t>
            </w:r>
            <w:r w:rsidRPr="006264CA">
              <w:rPr>
                <w:b/>
              </w:rPr>
              <w:t>(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b/>
                      <w:i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θ</m:t>
                  </m:r>
                </m:e>
              </m:func>
            </m:oMath>
            <w:r w:rsidRPr="006264CA">
              <w:rPr>
                <w:rFonts w:eastAsiaTheme="minorEastAsia"/>
                <w:b/>
              </w:rPr>
              <w:t>)</w:t>
            </w:r>
          </w:p>
        </w:tc>
      </w:tr>
      <w:tr w:rsidR="004B2B91" w:rsidTr="004B2B91">
        <w:trPr>
          <w:trHeight w:val="3742"/>
        </w:trPr>
        <w:tc>
          <w:tcPr>
            <w:tcW w:w="1020" w:type="dxa"/>
          </w:tcPr>
          <w:p w:rsidR="00B448A0" w:rsidRDefault="00B448A0" w:rsidP="00B448A0"/>
        </w:tc>
        <w:tc>
          <w:tcPr>
            <w:tcW w:w="1020" w:type="dxa"/>
          </w:tcPr>
          <w:p w:rsidR="00B448A0" w:rsidRDefault="00B448A0" w:rsidP="00B448A0"/>
        </w:tc>
        <w:tc>
          <w:tcPr>
            <w:tcW w:w="1020" w:type="dxa"/>
          </w:tcPr>
          <w:p w:rsidR="00B448A0" w:rsidRDefault="00B448A0" w:rsidP="00B448A0"/>
        </w:tc>
        <w:tc>
          <w:tcPr>
            <w:tcW w:w="1020" w:type="dxa"/>
          </w:tcPr>
          <w:p w:rsidR="00B448A0" w:rsidRDefault="00B448A0" w:rsidP="00B448A0"/>
        </w:tc>
        <w:tc>
          <w:tcPr>
            <w:tcW w:w="2891" w:type="dxa"/>
          </w:tcPr>
          <w:p w:rsidR="00B448A0" w:rsidRDefault="00B448A0" w:rsidP="00B448A0"/>
        </w:tc>
        <w:tc>
          <w:tcPr>
            <w:tcW w:w="2891" w:type="dxa"/>
          </w:tcPr>
          <w:p w:rsidR="00B448A0" w:rsidRDefault="00B448A0" w:rsidP="00B448A0"/>
        </w:tc>
      </w:tr>
    </w:tbl>
    <w:p w:rsidR="00D23507" w:rsidRDefault="00D23507" w:rsidP="00D23507">
      <w:pPr>
        <w:pStyle w:val="ListParagraph"/>
      </w:pPr>
    </w:p>
    <w:p w:rsidR="00F31FF0" w:rsidRDefault="00F31FF0" w:rsidP="00F31FF0">
      <w:pPr>
        <w:pStyle w:val="ListParagraph"/>
      </w:pPr>
    </w:p>
    <w:p w:rsidR="00B448A0" w:rsidRDefault="004B2B91" w:rsidP="004B2B91">
      <w:pPr>
        <w:pStyle w:val="ListParagraph"/>
        <w:numPr>
          <w:ilvl w:val="0"/>
          <w:numId w:val="3"/>
        </w:numPr>
      </w:pPr>
      <w:r>
        <w:t>According to theory:</w:t>
      </w:r>
    </w:p>
    <w:p w:rsidR="004B2B91" w:rsidRPr="007B3241" w:rsidRDefault="004B2B91" w:rsidP="007B3241">
      <w:pPr>
        <w:pStyle w:val="ListParagraph"/>
        <w:jc w:val="center"/>
        <w:rPr>
          <w:b/>
        </w:rPr>
      </w:pPr>
      <w:r w:rsidRPr="007B3241">
        <w:rPr>
          <w:b/>
        </w:rPr>
        <w:t xml:space="preserve">Total force acting to the left = </w:t>
      </w:r>
      <w:r w:rsidRPr="007B3241">
        <w:rPr>
          <w:b/>
          <w:i/>
        </w:rPr>
        <w:t>T</w:t>
      </w:r>
      <w:r w:rsidRPr="007B3241">
        <w:rPr>
          <w:b/>
          <w:i/>
          <w:vertAlign w:val="subscript"/>
        </w:rPr>
        <w:t>2</w:t>
      </w:r>
      <w:r w:rsidRPr="007B3241">
        <w:rPr>
          <w:b/>
        </w:rPr>
        <w:tab/>
        <w:t>Total force acting to the right =</w:t>
      </w:r>
      <w:r w:rsidR="007B3241" w:rsidRPr="007B3241">
        <w:rPr>
          <w:b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b/>
                <w:i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</w:rPr>
              <m:t>cos</m:t>
            </m:r>
          </m:fName>
          <m:e>
            <m:r>
              <m:rPr>
                <m:sty m:val="bi"/>
              </m:rPr>
              <w:rPr>
                <w:rFonts w:ascii="Cambria Math" w:hAnsi="Cambria Math"/>
              </w:rPr>
              <m:t>θ</m:t>
            </m:r>
          </m:e>
        </m:func>
      </m:oMath>
    </w:p>
    <w:p w:rsidR="007B3241" w:rsidRDefault="007B3241" w:rsidP="007B3241">
      <w:pPr>
        <w:pStyle w:val="ListParagraph"/>
        <w:rPr>
          <w:rFonts w:eastAsiaTheme="minorEastAsia"/>
        </w:rPr>
      </w:pPr>
      <w:r>
        <w:rPr>
          <w:rFonts w:eastAsiaTheme="minorEastAsia"/>
        </w:rPr>
        <w:t>From your results, how do these forces compare?</w:t>
      </w:r>
    </w:p>
    <w:p w:rsidR="007B3241" w:rsidRPr="007B3241" w:rsidRDefault="007B3241" w:rsidP="007B3241">
      <w:pPr>
        <w:pStyle w:val="ListParagraph"/>
      </w:pPr>
    </w:p>
    <w:p w:rsidR="007B3241" w:rsidRDefault="007B3241" w:rsidP="004B2B91">
      <w:pPr>
        <w:pStyle w:val="ListParagraph"/>
        <w:numPr>
          <w:ilvl w:val="0"/>
          <w:numId w:val="3"/>
        </w:numPr>
      </w:pPr>
      <w:r>
        <w:t>In this experiment:</w:t>
      </w:r>
    </w:p>
    <w:p w:rsidR="007B3241" w:rsidRPr="007B3241" w:rsidRDefault="007B3241" w:rsidP="007B3241">
      <w:pPr>
        <w:pStyle w:val="ListParagraph"/>
        <w:jc w:val="center"/>
        <w:rPr>
          <w:b/>
        </w:rPr>
      </w:pPr>
      <w:r w:rsidRPr="007B3241">
        <w:rPr>
          <w:b/>
        </w:rPr>
        <w:t xml:space="preserve">Total downward force = </w:t>
      </w:r>
      <w:r w:rsidRPr="007B3241">
        <w:rPr>
          <w:b/>
          <w:i/>
        </w:rPr>
        <w:t>W</w:t>
      </w:r>
      <w:r w:rsidRPr="007B3241">
        <w:rPr>
          <w:b/>
        </w:rPr>
        <w:tab/>
        <w:t xml:space="preserve">Total upward force =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b/>
                <w:i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hAnsi="Cambria Math"/>
              </w:rPr>
              <m:t>θ</m:t>
            </m:r>
          </m:e>
        </m:func>
      </m:oMath>
    </w:p>
    <w:p w:rsidR="007B3241" w:rsidRDefault="007B3241" w:rsidP="007B3241">
      <w:pPr>
        <w:pStyle w:val="ListParagraph"/>
        <w:rPr>
          <w:rFonts w:eastAsiaTheme="minorEastAsia"/>
        </w:rPr>
      </w:pPr>
      <w:r>
        <w:rPr>
          <w:rFonts w:eastAsiaTheme="minorEastAsia"/>
        </w:rPr>
        <w:t>From your results, how do these forces compare?</w:t>
      </w:r>
    </w:p>
    <w:p w:rsidR="007B3241" w:rsidRPr="007B3241" w:rsidRDefault="007B3241" w:rsidP="007B3241">
      <w:pPr>
        <w:pStyle w:val="ListParagraph"/>
      </w:pPr>
    </w:p>
    <w:p w:rsidR="007B3241" w:rsidRDefault="007B3241" w:rsidP="004B2B91">
      <w:pPr>
        <w:pStyle w:val="ListParagraph"/>
        <w:numPr>
          <w:ilvl w:val="0"/>
          <w:numId w:val="3"/>
        </w:numPr>
      </w:pPr>
      <w:r>
        <w:t>What conclusions can you make horizontal and vertical force acting on a system in equilibrium?</w:t>
      </w:r>
    </w:p>
    <w:p w:rsidR="00713E78" w:rsidRDefault="00713E78" w:rsidP="00713E78">
      <w:pPr>
        <w:pStyle w:val="ListParagraph"/>
      </w:pPr>
    </w:p>
    <w:p w:rsidR="00D23507" w:rsidRDefault="00D23507" w:rsidP="004B2B91">
      <w:pPr>
        <w:pStyle w:val="ListParagraph"/>
        <w:numPr>
          <w:ilvl w:val="0"/>
          <w:numId w:val="3"/>
        </w:numPr>
      </w:pPr>
      <w:r>
        <w:t xml:space="preserve">Plot a graph of weight on the </w:t>
      </w:r>
      <w:r w:rsidRPr="00D23507">
        <w:rPr>
          <w:i/>
        </w:rPr>
        <w:t>y</w:t>
      </w:r>
      <w:r>
        <w:t>-axis against T</w:t>
      </w:r>
      <w:r w:rsidRPr="00D23507">
        <w:rPr>
          <w:vertAlign w:val="subscript"/>
        </w:rPr>
        <w:t>1</w:t>
      </w:r>
      <w:r>
        <w:t xml:space="preserve"> on the </w:t>
      </w:r>
      <w:r w:rsidRPr="00D23507">
        <w:rPr>
          <w:i/>
        </w:rPr>
        <w:t>x</w:t>
      </w:r>
      <w:r>
        <w:t xml:space="preserve">-axis. </w:t>
      </w:r>
      <w:r w:rsidR="00713E78">
        <w:t xml:space="preserve">Show that the gradient of your graph is equal to sin </w:t>
      </w:r>
      <w:r w:rsidR="00713E78" w:rsidRPr="00713E78">
        <w:rPr>
          <w:rFonts w:ascii="Times New Roman" w:hAnsi="Times New Roman" w:cs="Times New Roman"/>
          <w:i/>
        </w:rPr>
        <w:t>θ</w:t>
      </w:r>
      <w:r w:rsidR="00713E78">
        <w:t>.</w:t>
      </w:r>
    </w:p>
    <w:p w:rsidR="007B3241" w:rsidRDefault="007B3241" w:rsidP="007B3241">
      <w:pPr>
        <w:ind w:left="360"/>
      </w:pPr>
    </w:p>
    <w:p w:rsidR="006264CA" w:rsidRDefault="007B3241" w:rsidP="006264CA">
      <w:pPr>
        <w:pStyle w:val="ListParagraph"/>
        <w:numPr>
          <w:ilvl w:val="0"/>
          <w:numId w:val="3"/>
        </w:numPr>
      </w:pPr>
      <w:r>
        <w:t>For any system in equilibrium, the total resultant force should be zero. For one of your results, draw an</w:t>
      </w:r>
      <w:r w:rsidR="00052BD2">
        <w:t xml:space="preserve"> </w:t>
      </w:r>
      <w:r>
        <w:t>accurate vector diagram, adding the forces head-to-tail. You should find that you obtain a closed triangle, indicating that the resultant is zero.</w:t>
      </w:r>
    </w:p>
    <w:p w:rsidR="00713E78" w:rsidRDefault="00713E78" w:rsidP="00713E78">
      <w:pPr>
        <w:pStyle w:val="ListParagraph"/>
      </w:pPr>
    </w:p>
    <w:tbl>
      <w:tblPr>
        <w:tblStyle w:val="TableGrid"/>
        <w:tblW w:w="7072" w:type="dxa"/>
        <w:tblInd w:w="2731" w:type="dxa"/>
        <w:tblLook w:val="04A0" w:firstRow="1" w:lastRow="0" w:firstColumn="1" w:lastColumn="0" w:noHBand="0" w:noVBand="1"/>
      </w:tblPr>
      <w:tblGrid>
        <w:gridCol w:w="1247"/>
        <w:gridCol w:w="1757"/>
        <w:gridCol w:w="1757"/>
        <w:gridCol w:w="2311"/>
      </w:tblGrid>
      <w:tr w:rsidR="006264CA" w:rsidTr="006264CA">
        <w:tc>
          <w:tcPr>
            <w:tcW w:w="1247" w:type="dxa"/>
          </w:tcPr>
          <w:p w:rsidR="006264CA" w:rsidRPr="006264CA" w:rsidRDefault="006264CA" w:rsidP="006264CA">
            <w:pPr>
              <w:rPr>
                <w:b/>
              </w:rPr>
            </w:pPr>
            <w:r w:rsidRPr="006264CA">
              <w:rPr>
                <w:b/>
                <w:i/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-2424583</wp:posOffset>
                  </wp:positionH>
                  <wp:positionV relativeFrom="paragraph">
                    <wp:posOffset>35779</wp:posOffset>
                  </wp:positionV>
                  <wp:extent cx="1967405" cy="1481959"/>
                  <wp:effectExtent l="1905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405" cy="1481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264CA">
              <w:rPr>
                <w:b/>
                <w:i/>
              </w:rPr>
              <w:t>T</w:t>
            </w:r>
            <w:r w:rsidRPr="006264CA">
              <w:rPr>
                <w:b/>
                <w:i/>
                <w:vertAlign w:val="subscript"/>
              </w:rPr>
              <w:t>1</w:t>
            </w:r>
            <w:r w:rsidRPr="006264CA">
              <w:rPr>
                <w:b/>
              </w:rPr>
              <w:t xml:space="preserve"> /N</w:t>
            </w:r>
          </w:p>
        </w:tc>
        <w:tc>
          <w:tcPr>
            <w:tcW w:w="1757" w:type="dxa"/>
          </w:tcPr>
          <w:p w:rsidR="006264CA" w:rsidRPr="006264CA" w:rsidRDefault="00ED2D75" w:rsidP="006264CA">
            <w:pPr>
              <w:rPr>
                <w:b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b/>
                      <w:i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θ</m:t>
                  </m:r>
                </m:e>
              </m:func>
            </m:oMath>
            <w:r w:rsidR="006264CA" w:rsidRPr="006264CA">
              <w:rPr>
                <w:rFonts w:eastAsiaTheme="minorEastAsia"/>
                <w:b/>
              </w:rPr>
              <w:t>/N</w:t>
            </w:r>
          </w:p>
        </w:tc>
        <w:tc>
          <w:tcPr>
            <w:tcW w:w="1757" w:type="dxa"/>
          </w:tcPr>
          <w:p w:rsidR="006264CA" w:rsidRPr="006264CA" w:rsidRDefault="006264CA" w:rsidP="006264CA">
            <w:pPr>
              <w:rPr>
                <w:b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W</m:t>
              </m:r>
              <m:func>
                <m:func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θ</m:t>
                  </m:r>
                </m:e>
              </m:func>
            </m:oMath>
            <w:r w:rsidRPr="006264CA">
              <w:rPr>
                <w:rFonts w:eastAsiaTheme="minorEastAsia"/>
                <w:b/>
              </w:rPr>
              <w:t>/N</w:t>
            </w:r>
          </w:p>
        </w:tc>
        <w:tc>
          <w:tcPr>
            <w:tcW w:w="2311" w:type="dxa"/>
          </w:tcPr>
          <w:p w:rsidR="006264CA" w:rsidRPr="006264CA" w:rsidRDefault="00ED2D75" w:rsidP="006264CA">
            <w:pPr>
              <w:rPr>
                <w:b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b/>
                      <w:i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cos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θ</m:t>
                  </m:r>
                </m:e>
              </m:func>
              <m:r>
                <m:rPr>
                  <m:sty m:val="bi"/>
                </m:rPr>
                <w:rPr>
                  <w:rFonts w:ascii="Cambria Math" w:hAnsi="Cambria Math"/>
                </w:rPr>
                <m:t>+W</m:t>
              </m:r>
              <m:func>
                <m:func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θ</m:t>
                  </m:r>
                </m:e>
              </m:func>
            </m:oMath>
            <w:r w:rsidR="006264CA" w:rsidRPr="006264CA">
              <w:rPr>
                <w:rFonts w:eastAsiaTheme="minorEastAsia"/>
                <w:b/>
              </w:rPr>
              <w:t>/N</w:t>
            </w:r>
          </w:p>
        </w:tc>
      </w:tr>
      <w:tr w:rsidR="006264CA" w:rsidTr="006264CA">
        <w:trPr>
          <w:trHeight w:val="2211"/>
        </w:trPr>
        <w:tc>
          <w:tcPr>
            <w:tcW w:w="1247" w:type="dxa"/>
          </w:tcPr>
          <w:p w:rsidR="006264CA" w:rsidRDefault="006264CA" w:rsidP="006264CA"/>
        </w:tc>
        <w:tc>
          <w:tcPr>
            <w:tcW w:w="1757" w:type="dxa"/>
          </w:tcPr>
          <w:p w:rsidR="006264CA" w:rsidRDefault="006264CA" w:rsidP="006264CA"/>
        </w:tc>
        <w:tc>
          <w:tcPr>
            <w:tcW w:w="1757" w:type="dxa"/>
          </w:tcPr>
          <w:p w:rsidR="006264CA" w:rsidRDefault="006264CA" w:rsidP="006264CA"/>
        </w:tc>
        <w:tc>
          <w:tcPr>
            <w:tcW w:w="2311" w:type="dxa"/>
          </w:tcPr>
          <w:p w:rsidR="006264CA" w:rsidRDefault="006264CA" w:rsidP="006264CA"/>
        </w:tc>
      </w:tr>
    </w:tbl>
    <w:p w:rsidR="007B3241" w:rsidRDefault="007B3241" w:rsidP="006264CA"/>
    <w:p w:rsidR="00713E78" w:rsidRDefault="00713E78" w:rsidP="006264CA"/>
    <w:p w:rsidR="006264CA" w:rsidRDefault="006264CA" w:rsidP="006264CA">
      <w:pPr>
        <w:pStyle w:val="ListParagraph"/>
        <w:numPr>
          <w:ilvl w:val="0"/>
          <w:numId w:val="3"/>
        </w:numPr>
      </w:pPr>
      <w:r>
        <w:t xml:space="preserve">Try taking components along the direction defined by </w:t>
      </w:r>
      <w:r w:rsidRPr="006264CA">
        <w:rPr>
          <w:i/>
        </w:rPr>
        <w:t>T</w:t>
      </w:r>
      <w:r w:rsidRPr="006264CA">
        <w:rPr>
          <w:i/>
          <w:vertAlign w:val="subscript"/>
        </w:rPr>
        <w:t>1</w:t>
      </w:r>
      <w:r>
        <w:t>. You should find tha</w:t>
      </w:r>
      <w:r w:rsidR="00713E78">
        <w:t>t</w:t>
      </w:r>
      <w:r>
        <w:t>:</w:t>
      </w:r>
    </w:p>
    <w:p w:rsidR="006264CA" w:rsidRDefault="006264CA" w:rsidP="006264CA">
      <w:pPr>
        <w:pStyle w:val="ListParagraph"/>
      </w:pPr>
      <w:r>
        <w:t xml:space="preserve">Total force in direction of </w:t>
      </w:r>
      <w:r w:rsidRPr="006264CA">
        <w:rPr>
          <w:i/>
        </w:rPr>
        <w:t>T</w:t>
      </w:r>
      <w:r w:rsidRPr="006264CA">
        <w:rPr>
          <w:i/>
          <w:vertAlign w:val="subscript"/>
        </w:rPr>
        <w:t>1</w:t>
      </w:r>
      <w:r>
        <w:t>=Total force in opposite direction</w:t>
      </w:r>
    </w:p>
    <w:p w:rsidR="006264CA" w:rsidRDefault="00ED2D75" w:rsidP="006264CA">
      <w:pPr>
        <w:pStyle w:val="ListParagraph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θ</m:t>
              </m:r>
            </m:e>
          </m:func>
          <m:r>
            <w:rPr>
              <w:rFonts w:ascii="Cambria Math" w:hAnsi="Cambria Math"/>
            </w:rPr>
            <m:t>+W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sin</m:t>
              </m:r>
            </m:fName>
            <m:e>
              <m:r>
                <w:rPr>
                  <w:rFonts w:ascii="Cambria Math" w:eastAsiaTheme="minorEastAsia" w:hAnsi="Cambria Math"/>
                </w:rPr>
                <m:t>θ</m:t>
              </m:r>
            </m:e>
          </m:func>
        </m:oMath>
      </m:oMathPara>
    </w:p>
    <w:p w:rsidR="006264CA" w:rsidRPr="006264CA" w:rsidRDefault="006264CA" w:rsidP="006264CA">
      <w:pPr>
        <w:pStyle w:val="ListParagraph"/>
      </w:pPr>
      <w:r>
        <w:rPr>
          <w:rFonts w:eastAsiaTheme="minorEastAsia"/>
        </w:rPr>
        <w:t>Check that this works for some of your results</w:t>
      </w:r>
    </w:p>
    <w:sectPr w:rsidR="006264CA" w:rsidRPr="006264CA" w:rsidSect="00D23507">
      <w:pgSz w:w="11906" w:h="16838"/>
      <w:pgMar w:top="567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1218"/>
    <w:multiLevelType w:val="hybridMultilevel"/>
    <w:tmpl w:val="CB5054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F7993"/>
    <w:multiLevelType w:val="multilevel"/>
    <w:tmpl w:val="ED3236CA"/>
    <w:styleLink w:val="Ollysworkbookstyl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620" w:hanging="180"/>
      </w:p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16F88"/>
    <w:multiLevelType w:val="hybridMultilevel"/>
    <w:tmpl w:val="F898AC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73224"/>
    <w:multiLevelType w:val="hybridMultilevel"/>
    <w:tmpl w:val="9C90D426"/>
    <w:lvl w:ilvl="0" w:tplc="D5FE255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A1088"/>
    <w:rsid w:val="00052BD2"/>
    <w:rsid w:val="00166034"/>
    <w:rsid w:val="003C74C2"/>
    <w:rsid w:val="004B2B91"/>
    <w:rsid w:val="004D655A"/>
    <w:rsid w:val="006264CA"/>
    <w:rsid w:val="00713E78"/>
    <w:rsid w:val="00775846"/>
    <w:rsid w:val="007B3241"/>
    <w:rsid w:val="00B448A0"/>
    <w:rsid w:val="00D23507"/>
    <w:rsid w:val="00DA1088"/>
    <w:rsid w:val="00EC7A1F"/>
    <w:rsid w:val="00ED2D75"/>
    <w:rsid w:val="00F3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CBE794-876A-42A1-A221-D37399B8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A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Ollysworkbookstyle">
    <w:name w:val="Olly's work book style"/>
    <w:uiPriority w:val="99"/>
    <w:rsid w:val="00775846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1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0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108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A1088"/>
    <w:rPr>
      <w:color w:val="808080"/>
    </w:rPr>
  </w:style>
  <w:style w:type="table" w:styleId="TableGrid">
    <w:name w:val="Table Grid"/>
    <w:basedOn w:val="TableNormal"/>
    <w:uiPriority w:val="59"/>
    <w:rsid w:val="00B44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Littleover Community School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O. Toogood</cp:lastModifiedBy>
  <cp:revision>8</cp:revision>
  <cp:lastPrinted>2015-09-21T10:25:00Z</cp:lastPrinted>
  <dcterms:created xsi:type="dcterms:W3CDTF">2014-01-14T20:08:00Z</dcterms:created>
  <dcterms:modified xsi:type="dcterms:W3CDTF">2015-09-21T10:46:00Z</dcterms:modified>
</cp:coreProperties>
</file>